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EF6" w:rsidRDefault="004565EA">
      <w:pPr>
        <w:pStyle w:val="Textoindependiente"/>
        <w:tabs>
          <w:tab w:val="left" w:pos="7067"/>
        </w:tabs>
        <w:spacing w:before="71"/>
        <w:ind w:left="204"/>
        <w:jc w:val="both"/>
      </w:pPr>
      <w:r>
        <w:t>Artículo</w:t>
      </w:r>
      <w:r>
        <w:rPr>
          <w:spacing w:val="-4"/>
        </w:rPr>
        <w:t xml:space="preserve"> </w:t>
      </w:r>
      <w:r>
        <w:t>original</w:t>
      </w:r>
      <w:r>
        <w:tab/>
        <w:t>ISSN</w:t>
      </w:r>
      <w:r>
        <w:rPr>
          <w:spacing w:val="-3"/>
        </w:rPr>
        <w:t xml:space="preserve"> </w:t>
      </w:r>
      <w:r>
        <w:t>1816-7713</w:t>
      </w:r>
    </w:p>
    <w:p w:rsidR="00B42EF6" w:rsidRDefault="00B42EF6">
      <w:pPr>
        <w:pStyle w:val="Textoindependiente"/>
      </w:pPr>
    </w:p>
    <w:p w:rsidR="00B42EF6" w:rsidRDefault="004565EA">
      <w:pPr>
        <w:pStyle w:val="Ttulo1"/>
        <w:ind w:right="348"/>
        <w:jc w:val="center"/>
      </w:pPr>
      <w:r>
        <w:t>VIRUS PAPILOMA HUMANO EN MUJERES DE 30 A 49 AÑOS DEL DISTRITO DE CATACAOS-PIURA:</w:t>
      </w:r>
    </w:p>
    <w:p w:rsidR="00B42EF6" w:rsidRDefault="004565EA">
      <w:pPr>
        <w:spacing w:line="321" w:lineRule="exact"/>
        <w:ind w:left="936"/>
        <w:rPr>
          <w:b/>
          <w:sz w:val="28"/>
        </w:rPr>
      </w:pPr>
      <w:r>
        <w:rPr>
          <w:b/>
          <w:sz w:val="28"/>
        </w:rPr>
        <w:t>Frecuencia, lesiones cervicales y factores asociados</w:t>
      </w:r>
    </w:p>
    <w:p w:rsidR="00B42EF6" w:rsidRDefault="00B42EF6">
      <w:pPr>
        <w:pStyle w:val="Textoindependiente"/>
        <w:spacing w:before="1"/>
        <w:rPr>
          <w:b/>
          <w:sz w:val="28"/>
        </w:rPr>
      </w:pPr>
    </w:p>
    <w:p w:rsidR="00B42EF6" w:rsidRPr="00E04F50" w:rsidRDefault="004565EA">
      <w:pPr>
        <w:pStyle w:val="Ttulo2"/>
        <w:spacing w:line="322" w:lineRule="exact"/>
        <w:jc w:val="both"/>
        <w:rPr>
          <w:lang w:val="en-US"/>
        </w:rPr>
      </w:pPr>
      <w:r w:rsidRPr="00E04F50">
        <w:rPr>
          <w:lang w:val="en-US"/>
        </w:rPr>
        <w:t>HUMAN PAPILLOMAVIRUS IN WOMEN OF 30 TO 49 YEARS OLD</w:t>
      </w:r>
    </w:p>
    <w:p w:rsidR="00B42EF6" w:rsidRPr="00E04F50" w:rsidRDefault="004565EA">
      <w:pPr>
        <w:ind w:left="425" w:right="343"/>
        <w:jc w:val="center"/>
        <w:rPr>
          <w:sz w:val="28"/>
          <w:lang w:val="en-US"/>
        </w:rPr>
      </w:pPr>
      <w:r w:rsidRPr="00E04F50">
        <w:rPr>
          <w:sz w:val="28"/>
          <w:lang w:val="en-US"/>
        </w:rPr>
        <w:t>OF THE DISTRICT OF CATACAOS-PIURA: Frequency, cervical lesions and associated factor</w:t>
      </w:r>
    </w:p>
    <w:p w:rsidR="00B42EF6" w:rsidRDefault="004565EA">
      <w:pPr>
        <w:pStyle w:val="Textoindependiente"/>
        <w:spacing w:before="250"/>
        <w:ind w:left="5538"/>
        <w:rPr>
          <w:sz w:val="14"/>
        </w:rPr>
      </w:pPr>
      <w:r>
        <w:t>María del Carmen Nuñez Terán</w:t>
      </w:r>
      <w:r>
        <w:rPr>
          <w:position w:val="8"/>
          <w:sz w:val="14"/>
        </w:rPr>
        <w:t>1</w:t>
      </w:r>
    </w:p>
    <w:p w:rsidR="00B42EF6" w:rsidRDefault="00B42EF6">
      <w:pPr>
        <w:pStyle w:val="Textoindependiente"/>
        <w:spacing w:before="11"/>
        <w:rPr>
          <w:sz w:val="21"/>
        </w:rPr>
      </w:pPr>
    </w:p>
    <w:p w:rsidR="00B42EF6" w:rsidRDefault="004565EA">
      <w:pPr>
        <w:ind w:left="204"/>
        <w:jc w:val="both"/>
        <w:rPr>
          <w:b/>
          <w:i/>
          <w:sz w:val="18"/>
        </w:rPr>
      </w:pPr>
      <w:r>
        <w:rPr>
          <w:b/>
          <w:i/>
          <w:sz w:val="18"/>
        </w:rPr>
        <w:t>Resumen</w:t>
      </w:r>
    </w:p>
    <w:p w:rsidR="00B42EF6" w:rsidRDefault="00B42EF6">
      <w:pPr>
        <w:pStyle w:val="Textoindependiente"/>
        <w:spacing w:before="10"/>
        <w:rPr>
          <w:b/>
          <w:i/>
          <w:sz w:val="21"/>
        </w:rPr>
      </w:pPr>
    </w:p>
    <w:p w:rsidR="00B42EF6" w:rsidRDefault="004565EA">
      <w:pPr>
        <w:spacing w:before="1"/>
        <w:ind w:left="204" w:right="130"/>
        <w:jc w:val="both"/>
        <w:rPr>
          <w:i/>
          <w:sz w:val="18"/>
        </w:rPr>
      </w:pPr>
      <w:r>
        <w:rPr>
          <w:b/>
          <w:i/>
          <w:sz w:val="18"/>
        </w:rPr>
        <w:t xml:space="preserve">Objetivo: </w:t>
      </w:r>
      <w:r>
        <w:rPr>
          <w:i/>
          <w:sz w:val="18"/>
        </w:rPr>
        <w:t>Determinar la frecuencia, lesiones cervicales y factores asociados al virus de papiloma humano en mujeres de 30 a 49 años</w:t>
      </w:r>
      <w:r>
        <w:rPr>
          <w:i/>
          <w:sz w:val="18"/>
        </w:rPr>
        <w:t xml:space="preserve"> del distrito de Catacaos Piura durante el periodo julio 2014 - mayo 2015.</w:t>
      </w:r>
    </w:p>
    <w:p w:rsidR="00B42EF6" w:rsidRDefault="004565EA">
      <w:pPr>
        <w:spacing w:before="3"/>
        <w:ind w:left="204" w:right="109"/>
        <w:jc w:val="both"/>
        <w:rPr>
          <w:i/>
          <w:sz w:val="18"/>
        </w:rPr>
      </w:pPr>
      <w:r>
        <w:rPr>
          <w:b/>
          <w:i/>
          <w:sz w:val="18"/>
        </w:rPr>
        <w:t>Material</w:t>
      </w:r>
      <w:r>
        <w:rPr>
          <w:b/>
          <w:i/>
          <w:spacing w:val="-1"/>
          <w:sz w:val="18"/>
        </w:rPr>
        <w:t xml:space="preserve"> </w:t>
      </w:r>
      <w:r>
        <w:rPr>
          <w:b/>
          <w:i/>
          <w:sz w:val="18"/>
        </w:rPr>
        <w:t>y</w:t>
      </w:r>
      <w:r>
        <w:rPr>
          <w:b/>
          <w:i/>
          <w:spacing w:val="1"/>
          <w:sz w:val="18"/>
        </w:rPr>
        <w:t xml:space="preserve"> </w:t>
      </w:r>
      <w:r>
        <w:rPr>
          <w:b/>
          <w:i/>
          <w:sz w:val="18"/>
        </w:rPr>
        <w:t xml:space="preserve">Métodos: </w:t>
      </w:r>
      <w:r>
        <w:rPr>
          <w:i/>
          <w:sz w:val="18"/>
        </w:rPr>
        <w:t>Estudio</w:t>
      </w:r>
      <w:r>
        <w:rPr>
          <w:i/>
          <w:spacing w:val="-8"/>
          <w:sz w:val="18"/>
        </w:rPr>
        <w:t xml:space="preserve"> </w:t>
      </w:r>
      <w:r>
        <w:rPr>
          <w:i/>
          <w:sz w:val="18"/>
        </w:rPr>
        <w:t>observacional,</w:t>
      </w:r>
      <w:r>
        <w:rPr>
          <w:i/>
          <w:spacing w:val="-9"/>
          <w:sz w:val="18"/>
        </w:rPr>
        <w:t xml:space="preserve"> </w:t>
      </w:r>
      <w:r>
        <w:rPr>
          <w:i/>
          <w:sz w:val="18"/>
        </w:rPr>
        <w:t>de</w:t>
      </w:r>
      <w:r>
        <w:rPr>
          <w:i/>
          <w:spacing w:val="-8"/>
          <w:sz w:val="18"/>
        </w:rPr>
        <w:t xml:space="preserve"> </w:t>
      </w:r>
      <w:r>
        <w:rPr>
          <w:i/>
          <w:sz w:val="18"/>
        </w:rPr>
        <w:t>corte</w:t>
      </w:r>
      <w:r>
        <w:rPr>
          <w:i/>
          <w:spacing w:val="-6"/>
          <w:sz w:val="18"/>
        </w:rPr>
        <w:t xml:space="preserve"> </w:t>
      </w:r>
      <w:r>
        <w:rPr>
          <w:i/>
          <w:sz w:val="18"/>
        </w:rPr>
        <w:t>transversal,</w:t>
      </w:r>
      <w:r>
        <w:rPr>
          <w:i/>
          <w:spacing w:val="-6"/>
          <w:sz w:val="18"/>
        </w:rPr>
        <w:t xml:space="preserve"> </w:t>
      </w:r>
      <w:r>
        <w:rPr>
          <w:i/>
          <w:sz w:val="18"/>
        </w:rPr>
        <w:t>correlacional.</w:t>
      </w:r>
      <w:r>
        <w:rPr>
          <w:i/>
          <w:spacing w:val="-6"/>
          <w:sz w:val="18"/>
        </w:rPr>
        <w:t xml:space="preserve"> </w:t>
      </w:r>
      <w:r>
        <w:rPr>
          <w:i/>
          <w:sz w:val="18"/>
        </w:rPr>
        <w:t>La</w:t>
      </w:r>
      <w:r>
        <w:rPr>
          <w:i/>
          <w:spacing w:val="-7"/>
          <w:sz w:val="18"/>
        </w:rPr>
        <w:t xml:space="preserve"> </w:t>
      </w:r>
      <w:r>
        <w:rPr>
          <w:i/>
          <w:sz w:val="18"/>
        </w:rPr>
        <w:t>muestra</w:t>
      </w:r>
      <w:r>
        <w:rPr>
          <w:i/>
          <w:spacing w:val="-7"/>
          <w:sz w:val="18"/>
        </w:rPr>
        <w:t xml:space="preserve"> </w:t>
      </w:r>
      <w:r>
        <w:rPr>
          <w:i/>
          <w:sz w:val="18"/>
        </w:rPr>
        <w:t>fueron</w:t>
      </w:r>
      <w:r>
        <w:rPr>
          <w:i/>
          <w:spacing w:val="-7"/>
          <w:sz w:val="18"/>
        </w:rPr>
        <w:t xml:space="preserve"> </w:t>
      </w:r>
      <w:r>
        <w:rPr>
          <w:i/>
          <w:sz w:val="18"/>
        </w:rPr>
        <w:t>mujeres entre 30 a 49 años, que cumplieron los criterios de selección. El instrumen</w:t>
      </w:r>
      <w:r>
        <w:rPr>
          <w:i/>
          <w:sz w:val="18"/>
        </w:rPr>
        <w:t>to fue un cuestionario auto administrado,</w:t>
      </w:r>
      <w:r>
        <w:rPr>
          <w:i/>
          <w:spacing w:val="-8"/>
          <w:sz w:val="18"/>
        </w:rPr>
        <w:t xml:space="preserve"> </w:t>
      </w:r>
      <w:r>
        <w:rPr>
          <w:i/>
          <w:sz w:val="18"/>
        </w:rPr>
        <w:t>anónimo,</w:t>
      </w:r>
      <w:r>
        <w:rPr>
          <w:i/>
          <w:spacing w:val="-10"/>
          <w:sz w:val="18"/>
        </w:rPr>
        <w:t xml:space="preserve"> </w:t>
      </w:r>
      <w:r>
        <w:rPr>
          <w:i/>
          <w:sz w:val="18"/>
        </w:rPr>
        <w:t>validado</w:t>
      </w:r>
      <w:r>
        <w:rPr>
          <w:i/>
          <w:spacing w:val="-6"/>
          <w:sz w:val="18"/>
        </w:rPr>
        <w:t xml:space="preserve"> </w:t>
      </w:r>
      <w:r>
        <w:rPr>
          <w:i/>
          <w:sz w:val="18"/>
        </w:rPr>
        <w:t>mediante</w:t>
      </w:r>
      <w:r>
        <w:rPr>
          <w:i/>
          <w:spacing w:val="-8"/>
          <w:sz w:val="18"/>
        </w:rPr>
        <w:t xml:space="preserve"> </w:t>
      </w:r>
      <w:r>
        <w:rPr>
          <w:i/>
          <w:sz w:val="18"/>
        </w:rPr>
        <w:t>expertos.</w:t>
      </w:r>
      <w:r>
        <w:rPr>
          <w:i/>
          <w:spacing w:val="-10"/>
          <w:sz w:val="18"/>
        </w:rPr>
        <w:t xml:space="preserve"> </w:t>
      </w:r>
      <w:r>
        <w:rPr>
          <w:i/>
          <w:sz w:val="18"/>
        </w:rPr>
        <w:t>Se</w:t>
      </w:r>
      <w:r>
        <w:rPr>
          <w:i/>
          <w:spacing w:val="-8"/>
          <w:sz w:val="18"/>
        </w:rPr>
        <w:t xml:space="preserve"> </w:t>
      </w:r>
      <w:r>
        <w:rPr>
          <w:i/>
          <w:sz w:val="18"/>
        </w:rPr>
        <w:t>realizó</w:t>
      </w:r>
      <w:r>
        <w:rPr>
          <w:i/>
          <w:spacing w:val="-6"/>
          <w:sz w:val="18"/>
        </w:rPr>
        <w:t xml:space="preserve"> </w:t>
      </w:r>
      <w:r>
        <w:rPr>
          <w:i/>
          <w:sz w:val="18"/>
        </w:rPr>
        <w:t>análisis</w:t>
      </w:r>
      <w:r>
        <w:rPr>
          <w:i/>
          <w:spacing w:val="-9"/>
          <w:sz w:val="18"/>
        </w:rPr>
        <w:t xml:space="preserve"> </w:t>
      </w:r>
      <w:r>
        <w:rPr>
          <w:i/>
          <w:sz w:val="18"/>
        </w:rPr>
        <w:t>exploratorio,</w:t>
      </w:r>
      <w:r>
        <w:rPr>
          <w:i/>
          <w:spacing w:val="-8"/>
          <w:sz w:val="18"/>
        </w:rPr>
        <w:t xml:space="preserve"> </w:t>
      </w:r>
      <w:r>
        <w:rPr>
          <w:i/>
          <w:sz w:val="18"/>
        </w:rPr>
        <w:t>univariado</w:t>
      </w:r>
      <w:r>
        <w:rPr>
          <w:i/>
          <w:spacing w:val="-10"/>
          <w:sz w:val="18"/>
        </w:rPr>
        <w:t xml:space="preserve"> </w:t>
      </w:r>
      <w:r>
        <w:rPr>
          <w:i/>
          <w:sz w:val="18"/>
        </w:rPr>
        <w:t>y</w:t>
      </w:r>
      <w:r>
        <w:rPr>
          <w:i/>
          <w:spacing w:val="-8"/>
          <w:sz w:val="18"/>
        </w:rPr>
        <w:t xml:space="preserve"> </w:t>
      </w:r>
      <w:r>
        <w:rPr>
          <w:i/>
          <w:sz w:val="18"/>
        </w:rPr>
        <w:t>bivariado. La prevalencia se estimó empleando intervalos de confianza al 95%, p&lt;0,05. Se empleó el software estadístico SPSS para Windows vs.</w:t>
      </w:r>
      <w:r>
        <w:rPr>
          <w:i/>
          <w:spacing w:val="-17"/>
          <w:sz w:val="18"/>
        </w:rPr>
        <w:t xml:space="preserve"> </w:t>
      </w:r>
      <w:r>
        <w:rPr>
          <w:i/>
          <w:sz w:val="18"/>
        </w:rPr>
        <w:t>22.0.</w:t>
      </w:r>
    </w:p>
    <w:p w:rsidR="00B42EF6" w:rsidRDefault="004565EA">
      <w:pPr>
        <w:ind w:left="204" w:right="111"/>
        <w:jc w:val="both"/>
        <w:rPr>
          <w:i/>
          <w:sz w:val="18"/>
        </w:rPr>
      </w:pPr>
      <w:r>
        <w:rPr>
          <w:b/>
          <w:i/>
          <w:sz w:val="18"/>
        </w:rPr>
        <w:t xml:space="preserve">Resultados: </w:t>
      </w:r>
      <w:r>
        <w:rPr>
          <w:i/>
          <w:sz w:val="18"/>
        </w:rPr>
        <w:t>La prevalencia del Virus del Papiloma Humano fue de 11.2% (IC al 95% 0.076 – 0.161). Se encontra</w:t>
      </w:r>
      <w:r>
        <w:rPr>
          <w:i/>
          <w:sz w:val="18"/>
        </w:rPr>
        <w:t>ron</w:t>
      </w:r>
      <w:r>
        <w:rPr>
          <w:i/>
          <w:spacing w:val="-3"/>
          <w:sz w:val="18"/>
        </w:rPr>
        <w:t xml:space="preserve"> </w:t>
      </w:r>
      <w:r>
        <w:rPr>
          <w:i/>
          <w:sz w:val="18"/>
        </w:rPr>
        <w:t>un</w:t>
      </w:r>
      <w:r>
        <w:rPr>
          <w:i/>
          <w:spacing w:val="-3"/>
          <w:sz w:val="18"/>
        </w:rPr>
        <w:t xml:space="preserve"> </w:t>
      </w:r>
      <w:r>
        <w:rPr>
          <w:i/>
          <w:sz w:val="18"/>
        </w:rPr>
        <w:t>total</w:t>
      </w:r>
      <w:r>
        <w:rPr>
          <w:i/>
          <w:spacing w:val="-3"/>
          <w:sz w:val="18"/>
        </w:rPr>
        <w:t xml:space="preserve"> </w:t>
      </w:r>
      <w:r>
        <w:rPr>
          <w:i/>
          <w:sz w:val="18"/>
        </w:rPr>
        <w:t>de</w:t>
      </w:r>
      <w:r>
        <w:rPr>
          <w:i/>
          <w:spacing w:val="-3"/>
          <w:sz w:val="18"/>
        </w:rPr>
        <w:t xml:space="preserve"> </w:t>
      </w:r>
      <w:r>
        <w:rPr>
          <w:i/>
          <w:sz w:val="18"/>
        </w:rPr>
        <w:t>24</w:t>
      </w:r>
      <w:r>
        <w:rPr>
          <w:i/>
          <w:spacing w:val="-3"/>
          <w:sz w:val="18"/>
        </w:rPr>
        <w:t xml:space="preserve"> </w:t>
      </w:r>
      <w:r>
        <w:rPr>
          <w:i/>
          <w:sz w:val="18"/>
        </w:rPr>
        <w:t>lesiones</w:t>
      </w:r>
      <w:r>
        <w:rPr>
          <w:i/>
          <w:spacing w:val="-3"/>
          <w:sz w:val="18"/>
        </w:rPr>
        <w:t xml:space="preserve"> </w:t>
      </w:r>
      <w:r>
        <w:rPr>
          <w:i/>
          <w:sz w:val="18"/>
        </w:rPr>
        <w:t>de</w:t>
      </w:r>
      <w:r>
        <w:rPr>
          <w:i/>
          <w:spacing w:val="-3"/>
          <w:sz w:val="18"/>
        </w:rPr>
        <w:t xml:space="preserve"> </w:t>
      </w:r>
      <w:r>
        <w:rPr>
          <w:i/>
          <w:sz w:val="18"/>
        </w:rPr>
        <w:t>las</w:t>
      </w:r>
      <w:r>
        <w:rPr>
          <w:i/>
          <w:spacing w:val="-3"/>
          <w:sz w:val="18"/>
        </w:rPr>
        <w:t xml:space="preserve"> </w:t>
      </w:r>
      <w:r>
        <w:rPr>
          <w:i/>
          <w:sz w:val="18"/>
        </w:rPr>
        <w:t>cuales</w:t>
      </w:r>
      <w:r>
        <w:rPr>
          <w:i/>
          <w:spacing w:val="-2"/>
          <w:sz w:val="18"/>
        </w:rPr>
        <w:t xml:space="preserve"> </w:t>
      </w:r>
      <w:r>
        <w:rPr>
          <w:i/>
          <w:sz w:val="18"/>
        </w:rPr>
        <w:t>9</w:t>
      </w:r>
      <w:r>
        <w:rPr>
          <w:i/>
          <w:spacing w:val="-4"/>
          <w:sz w:val="18"/>
        </w:rPr>
        <w:t xml:space="preserve"> </w:t>
      </w:r>
      <w:r>
        <w:rPr>
          <w:i/>
          <w:sz w:val="18"/>
        </w:rPr>
        <w:t>dieron</w:t>
      </w:r>
      <w:r>
        <w:rPr>
          <w:i/>
          <w:spacing w:val="-2"/>
          <w:sz w:val="18"/>
        </w:rPr>
        <w:t xml:space="preserve"> </w:t>
      </w:r>
      <w:r>
        <w:rPr>
          <w:i/>
          <w:sz w:val="18"/>
        </w:rPr>
        <w:t>negativo</w:t>
      </w:r>
      <w:r>
        <w:rPr>
          <w:i/>
          <w:spacing w:val="-3"/>
          <w:sz w:val="18"/>
        </w:rPr>
        <w:t xml:space="preserve"> </w:t>
      </w:r>
      <w:r>
        <w:rPr>
          <w:i/>
          <w:sz w:val="18"/>
        </w:rPr>
        <w:t>y 15</w:t>
      </w:r>
      <w:r>
        <w:rPr>
          <w:i/>
          <w:spacing w:val="-4"/>
          <w:sz w:val="18"/>
        </w:rPr>
        <w:t xml:space="preserve"> </w:t>
      </w:r>
      <w:r>
        <w:rPr>
          <w:i/>
          <w:sz w:val="18"/>
        </w:rPr>
        <w:t>positivo</w:t>
      </w:r>
      <w:r>
        <w:rPr>
          <w:i/>
          <w:spacing w:val="-2"/>
          <w:sz w:val="18"/>
        </w:rPr>
        <w:t xml:space="preserve"> </w:t>
      </w:r>
      <w:r>
        <w:rPr>
          <w:i/>
          <w:sz w:val="18"/>
        </w:rPr>
        <w:t>a</w:t>
      </w:r>
      <w:r>
        <w:rPr>
          <w:i/>
          <w:spacing w:val="-3"/>
          <w:sz w:val="18"/>
        </w:rPr>
        <w:t xml:space="preserve"> </w:t>
      </w:r>
      <w:r>
        <w:rPr>
          <w:i/>
          <w:sz w:val="18"/>
        </w:rPr>
        <w:t>lesiones</w:t>
      </w:r>
      <w:r>
        <w:rPr>
          <w:i/>
          <w:spacing w:val="-4"/>
          <w:sz w:val="18"/>
        </w:rPr>
        <w:t xml:space="preserve"> </w:t>
      </w:r>
      <w:r>
        <w:rPr>
          <w:i/>
          <w:sz w:val="18"/>
        </w:rPr>
        <w:t>cancerosas.</w:t>
      </w:r>
      <w:r>
        <w:rPr>
          <w:i/>
          <w:spacing w:val="-3"/>
          <w:sz w:val="18"/>
        </w:rPr>
        <w:t xml:space="preserve"> </w:t>
      </w:r>
      <w:r>
        <w:rPr>
          <w:i/>
          <w:sz w:val="18"/>
        </w:rPr>
        <w:t xml:space="preserve">La menarquía (p=0.077), edad de primer embarazo (p=0.071), paridad (p=0.071), historia de uso de anticonceptivos (p=0.147); edad de primera relación sexual (p </w:t>
      </w:r>
      <w:r>
        <w:rPr>
          <w:i/>
          <w:sz w:val="18"/>
        </w:rPr>
        <w:t>= 0.067), el número de parejas sexuales (p=0.078), y la existencia de lesiones cervicales según los resultados de la Inspección Visual con Ácido Acético (p = 0.148) no mostraron asociación significativa, con excepción del antecedente de infección de trasmi</w:t>
      </w:r>
      <w:r>
        <w:rPr>
          <w:i/>
          <w:sz w:val="18"/>
        </w:rPr>
        <w:t>sión sexual (p =</w:t>
      </w:r>
      <w:r>
        <w:rPr>
          <w:i/>
          <w:spacing w:val="-15"/>
          <w:sz w:val="18"/>
        </w:rPr>
        <w:t xml:space="preserve"> </w:t>
      </w:r>
      <w:r>
        <w:rPr>
          <w:i/>
          <w:sz w:val="18"/>
        </w:rPr>
        <w:t>0.020).</w:t>
      </w:r>
    </w:p>
    <w:p w:rsidR="00B42EF6" w:rsidRDefault="004565EA">
      <w:pPr>
        <w:ind w:left="204" w:right="129"/>
        <w:jc w:val="both"/>
        <w:rPr>
          <w:i/>
          <w:sz w:val="18"/>
        </w:rPr>
      </w:pPr>
      <w:r>
        <w:rPr>
          <w:b/>
          <w:i/>
          <w:sz w:val="18"/>
        </w:rPr>
        <w:t xml:space="preserve">Conclusión: </w:t>
      </w:r>
      <w:r>
        <w:rPr>
          <w:i/>
          <w:sz w:val="18"/>
        </w:rPr>
        <w:t xml:space="preserve">La frecuencia del virus papiloma humano fue más frecuente entre los 30 a 49 años de edad, </w:t>
      </w:r>
      <w:r>
        <w:rPr>
          <w:i/>
          <w:sz w:val="18"/>
        </w:rPr>
        <w:t>con menarquía entre 12 a 15 años, con embarazo adolescente, multíparas, uso de anticonceptivos, edad de inicio sexual entre los 14 a 19 años y antecedente de infección de trasmisión sexual.</w:t>
      </w:r>
    </w:p>
    <w:p w:rsidR="00B42EF6" w:rsidRDefault="004565EA">
      <w:pPr>
        <w:spacing w:before="1"/>
        <w:ind w:left="204" w:right="130"/>
        <w:jc w:val="both"/>
        <w:rPr>
          <w:i/>
          <w:sz w:val="18"/>
        </w:rPr>
      </w:pPr>
      <w:r>
        <w:rPr>
          <w:i/>
          <w:sz w:val="18"/>
        </w:rPr>
        <w:t xml:space="preserve">Palabras Clave: Cáncer cervicouterino, virus del Papiloma Humano, </w:t>
      </w:r>
      <w:r>
        <w:rPr>
          <w:i/>
          <w:sz w:val="18"/>
        </w:rPr>
        <w:t>prevalencia, factor de riesgo, Papanicolau.</w:t>
      </w:r>
    </w:p>
    <w:p w:rsidR="00B42EF6" w:rsidRDefault="00B42EF6">
      <w:pPr>
        <w:pStyle w:val="Textoindependiente"/>
        <w:spacing w:before="10"/>
        <w:rPr>
          <w:i/>
          <w:sz w:val="17"/>
        </w:rPr>
      </w:pPr>
    </w:p>
    <w:p w:rsidR="00B42EF6" w:rsidRPr="00E04F50" w:rsidRDefault="004565EA">
      <w:pPr>
        <w:ind w:left="204"/>
        <w:jc w:val="both"/>
        <w:rPr>
          <w:b/>
          <w:i/>
          <w:sz w:val="18"/>
          <w:lang w:val="en-US"/>
        </w:rPr>
      </w:pPr>
      <w:r w:rsidRPr="00E04F50">
        <w:rPr>
          <w:b/>
          <w:i/>
          <w:sz w:val="18"/>
          <w:lang w:val="en-US"/>
        </w:rPr>
        <w:t>Abstract</w:t>
      </w:r>
    </w:p>
    <w:p w:rsidR="00B42EF6" w:rsidRPr="00E04F50" w:rsidRDefault="00B42EF6">
      <w:pPr>
        <w:pStyle w:val="Textoindependiente"/>
        <w:spacing w:before="1"/>
        <w:rPr>
          <w:b/>
          <w:i/>
          <w:lang w:val="en-US"/>
        </w:rPr>
      </w:pPr>
    </w:p>
    <w:p w:rsidR="00B42EF6" w:rsidRPr="00E04F50" w:rsidRDefault="004565EA">
      <w:pPr>
        <w:ind w:left="204" w:right="125"/>
        <w:jc w:val="both"/>
        <w:rPr>
          <w:i/>
          <w:sz w:val="18"/>
          <w:lang w:val="en-US"/>
        </w:rPr>
      </w:pPr>
      <w:r w:rsidRPr="00E04F50">
        <w:rPr>
          <w:b/>
          <w:i/>
          <w:sz w:val="18"/>
          <w:lang w:val="en-US"/>
        </w:rPr>
        <w:t xml:space="preserve">Objective: </w:t>
      </w:r>
      <w:r w:rsidRPr="00E04F50">
        <w:rPr>
          <w:i/>
          <w:sz w:val="18"/>
          <w:lang w:val="en-US"/>
        </w:rPr>
        <w:t>To determine the frequency, cervical lesions and associated factors to human papilomavirus in women of 30 to 49 years old of the district of Catacaos Piura during July 2014 – May 2015.</w:t>
      </w:r>
    </w:p>
    <w:p w:rsidR="00B42EF6" w:rsidRPr="00E04F50" w:rsidRDefault="004565EA">
      <w:pPr>
        <w:spacing w:before="1"/>
        <w:ind w:left="204" w:right="111"/>
        <w:jc w:val="both"/>
        <w:rPr>
          <w:i/>
          <w:sz w:val="18"/>
          <w:lang w:val="en-US"/>
        </w:rPr>
      </w:pPr>
      <w:r w:rsidRPr="00E04F50">
        <w:rPr>
          <w:b/>
          <w:i/>
          <w:sz w:val="18"/>
          <w:lang w:val="en-US"/>
        </w:rPr>
        <w:t xml:space="preserve">Material and Methods: </w:t>
      </w:r>
      <w:r w:rsidRPr="00E04F50">
        <w:rPr>
          <w:i/>
          <w:sz w:val="18"/>
          <w:lang w:val="en-US"/>
        </w:rPr>
        <w:t>Observational, transversal and correlational study. The sample was composed of women between 30 to 49 years old following the selection criteria. The instrument was a self-administered, anonymous</w:t>
      </w:r>
      <w:r w:rsidRPr="00E04F50">
        <w:rPr>
          <w:i/>
          <w:spacing w:val="-4"/>
          <w:sz w:val="18"/>
          <w:lang w:val="en-US"/>
        </w:rPr>
        <w:t xml:space="preserve"> </w:t>
      </w:r>
      <w:r w:rsidRPr="00E04F50">
        <w:rPr>
          <w:i/>
          <w:sz w:val="18"/>
          <w:lang w:val="en-US"/>
        </w:rPr>
        <w:t>questionnaire</w:t>
      </w:r>
      <w:r w:rsidRPr="00E04F50">
        <w:rPr>
          <w:i/>
          <w:spacing w:val="-4"/>
          <w:sz w:val="18"/>
          <w:lang w:val="en-US"/>
        </w:rPr>
        <w:t xml:space="preserve"> </w:t>
      </w:r>
      <w:r w:rsidRPr="00E04F50">
        <w:rPr>
          <w:i/>
          <w:sz w:val="18"/>
          <w:lang w:val="en-US"/>
        </w:rPr>
        <w:t>validated</w:t>
      </w:r>
      <w:r w:rsidRPr="00E04F50">
        <w:rPr>
          <w:i/>
          <w:spacing w:val="-4"/>
          <w:sz w:val="18"/>
          <w:lang w:val="en-US"/>
        </w:rPr>
        <w:t xml:space="preserve"> </w:t>
      </w:r>
      <w:r w:rsidRPr="00E04F50">
        <w:rPr>
          <w:i/>
          <w:sz w:val="18"/>
          <w:lang w:val="en-US"/>
        </w:rPr>
        <w:t>by</w:t>
      </w:r>
      <w:r w:rsidRPr="00E04F50">
        <w:rPr>
          <w:i/>
          <w:spacing w:val="-5"/>
          <w:sz w:val="18"/>
          <w:lang w:val="en-US"/>
        </w:rPr>
        <w:t xml:space="preserve"> </w:t>
      </w:r>
      <w:r w:rsidRPr="00E04F50">
        <w:rPr>
          <w:i/>
          <w:sz w:val="18"/>
          <w:lang w:val="en-US"/>
        </w:rPr>
        <w:t>expert</w:t>
      </w:r>
      <w:r w:rsidRPr="00E04F50">
        <w:rPr>
          <w:i/>
          <w:spacing w:val="-2"/>
          <w:sz w:val="18"/>
          <w:lang w:val="en-US"/>
        </w:rPr>
        <w:t xml:space="preserve"> </w:t>
      </w:r>
      <w:r w:rsidRPr="00E04F50">
        <w:rPr>
          <w:i/>
          <w:sz w:val="18"/>
          <w:lang w:val="en-US"/>
        </w:rPr>
        <w:t>judg</w:t>
      </w:r>
      <w:r w:rsidRPr="00E04F50">
        <w:rPr>
          <w:i/>
          <w:sz w:val="18"/>
          <w:lang w:val="en-US"/>
        </w:rPr>
        <w:t>ment.</w:t>
      </w:r>
      <w:r w:rsidRPr="00E04F50">
        <w:rPr>
          <w:i/>
          <w:spacing w:val="-5"/>
          <w:sz w:val="18"/>
          <w:lang w:val="en-US"/>
        </w:rPr>
        <w:t xml:space="preserve"> </w:t>
      </w:r>
      <w:r w:rsidRPr="00E04F50">
        <w:rPr>
          <w:i/>
          <w:sz w:val="18"/>
          <w:lang w:val="en-US"/>
        </w:rPr>
        <w:t>It</w:t>
      </w:r>
      <w:r w:rsidRPr="00E04F50">
        <w:rPr>
          <w:i/>
          <w:spacing w:val="-3"/>
          <w:sz w:val="18"/>
          <w:lang w:val="en-US"/>
        </w:rPr>
        <w:t xml:space="preserve"> </w:t>
      </w:r>
      <w:r w:rsidRPr="00E04F50">
        <w:rPr>
          <w:i/>
          <w:sz w:val="18"/>
          <w:lang w:val="en-US"/>
        </w:rPr>
        <w:t>was</w:t>
      </w:r>
      <w:r w:rsidRPr="00E04F50">
        <w:rPr>
          <w:i/>
          <w:spacing w:val="-5"/>
          <w:sz w:val="18"/>
          <w:lang w:val="en-US"/>
        </w:rPr>
        <w:t xml:space="preserve"> </w:t>
      </w:r>
      <w:r w:rsidRPr="00E04F50">
        <w:rPr>
          <w:i/>
          <w:sz w:val="18"/>
          <w:lang w:val="en-US"/>
        </w:rPr>
        <w:t>used</w:t>
      </w:r>
      <w:r w:rsidRPr="00E04F50">
        <w:rPr>
          <w:i/>
          <w:spacing w:val="-2"/>
          <w:sz w:val="18"/>
          <w:lang w:val="en-US"/>
        </w:rPr>
        <w:t xml:space="preserve"> </w:t>
      </w:r>
      <w:r w:rsidRPr="00E04F50">
        <w:rPr>
          <w:i/>
          <w:sz w:val="18"/>
          <w:lang w:val="en-US"/>
        </w:rPr>
        <w:t>an</w:t>
      </w:r>
      <w:r w:rsidRPr="00E04F50">
        <w:rPr>
          <w:i/>
          <w:spacing w:val="-6"/>
          <w:sz w:val="18"/>
          <w:lang w:val="en-US"/>
        </w:rPr>
        <w:t xml:space="preserve"> </w:t>
      </w:r>
      <w:r w:rsidRPr="00E04F50">
        <w:rPr>
          <w:i/>
          <w:sz w:val="18"/>
          <w:lang w:val="en-US"/>
        </w:rPr>
        <w:t>exploratory</w:t>
      </w:r>
      <w:r w:rsidRPr="00E04F50">
        <w:rPr>
          <w:i/>
          <w:spacing w:val="-3"/>
          <w:sz w:val="18"/>
          <w:lang w:val="en-US"/>
        </w:rPr>
        <w:t xml:space="preserve"> </w:t>
      </w:r>
      <w:r w:rsidRPr="00E04F50">
        <w:rPr>
          <w:i/>
          <w:sz w:val="18"/>
          <w:lang w:val="en-US"/>
        </w:rPr>
        <w:t>univariate</w:t>
      </w:r>
      <w:r w:rsidRPr="00E04F50">
        <w:rPr>
          <w:i/>
          <w:spacing w:val="-5"/>
          <w:sz w:val="18"/>
          <w:lang w:val="en-US"/>
        </w:rPr>
        <w:t xml:space="preserve"> </w:t>
      </w:r>
      <w:r w:rsidRPr="00E04F50">
        <w:rPr>
          <w:i/>
          <w:sz w:val="18"/>
          <w:lang w:val="en-US"/>
        </w:rPr>
        <w:t>and</w:t>
      </w:r>
      <w:r w:rsidRPr="00E04F50">
        <w:rPr>
          <w:i/>
          <w:spacing w:val="-5"/>
          <w:sz w:val="18"/>
          <w:lang w:val="en-US"/>
        </w:rPr>
        <w:t xml:space="preserve"> </w:t>
      </w:r>
      <w:r w:rsidRPr="00E04F50">
        <w:rPr>
          <w:i/>
          <w:sz w:val="18"/>
          <w:lang w:val="en-US"/>
        </w:rPr>
        <w:t>bivariate analysis. The prevalence was estimated using a 95% confidence interval, p&lt;0,05. It was used a statistical software SPSS for Windows vs.</w:t>
      </w:r>
      <w:r w:rsidRPr="00E04F50">
        <w:rPr>
          <w:i/>
          <w:spacing w:val="-12"/>
          <w:sz w:val="18"/>
          <w:lang w:val="en-US"/>
        </w:rPr>
        <w:t xml:space="preserve"> </w:t>
      </w:r>
      <w:r w:rsidRPr="00E04F50">
        <w:rPr>
          <w:i/>
          <w:sz w:val="18"/>
          <w:lang w:val="en-US"/>
        </w:rPr>
        <w:t>22.0</w:t>
      </w:r>
    </w:p>
    <w:p w:rsidR="00B42EF6" w:rsidRPr="00E04F50" w:rsidRDefault="004565EA">
      <w:pPr>
        <w:ind w:left="204" w:right="110"/>
        <w:jc w:val="both"/>
        <w:rPr>
          <w:i/>
          <w:sz w:val="18"/>
          <w:lang w:val="en-US"/>
        </w:rPr>
      </w:pPr>
      <w:r w:rsidRPr="00E04F50">
        <w:rPr>
          <w:b/>
          <w:i/>
          <w:sz w:val="18"/>
          <w:lang w:val="en-US"/>
        </w:rPr>
        <w:t xml:space="preserve">Results: </w:t>
      </w:r>
      <w:r w:rsidRPr="00E04F50">
        <w:rPr>
          <w:i/>
          <w:sz w:val="18"/>
          <w:lang w:val="en-US"/>
        </w:rPr>
        <w:t>The prevalence of human Papailomavirus was 11.2%</w:t>
      </w:r>
      <w:r w:rsidRPr="00E04F50">
        <w:rPr>
          <w:i/>
          <w:sz w:val="18"/>
          <w:lang w:val="en-US"/>
        </w:rPr>
        <w:t xml:space="preserve"> (IC al 95% 0.076 – 0.161). It was found a total of 24 injuries, 9 of them were negative and 15 were positive for cancerous lesions. The menarche (p=0.077), age of first pregnancy (p=0.071), parity (p=0.071), history of contraceptive use (p=0.147), age of </w:t>
      </w:r>
      <w:r w:rsidRPr="00E04F50">
        <w:rPr>
          <w:i/>
          <w:sz w:val="18"/>
          <w:lang w:val="en-US"/>
        </w:rPr>
        <w:t>first sexual realtion (p = 0.067), number of sexual partners (p=0.078) and the existence of cervical lesions base on Visual Inspection with Acetic Acid (p = 0.148) didn’t show significant association, excepting the history of sexual transmitted infection (</w:t>
      </w:r>
      <w:r w:rsidRPr="00E04F50">
        <w:rPr>
          <w:i/>
          <w:sz w:val="18"/>
          <w:lang w:val="en-US"/>
        </w:rPr>
        <w:t>p = 0.020).</w:t>
      </w:r>
    </w:p>
    <w:p w:rsidR="00B42EF6" w:rsidRPr="00E04F50" w:rsidRDefault="004565EA">
      <w:pPr>
        <w:ind w:left="204" w:right="111"/>
        <w:jc w:val="both"/>
        <w:rPr>
          <w:i/>
          <w:sz w:val="18"/>
          <w:lang w:val="en-US"/>
        </w:rPr>
      </w:pPr>
      <w:r w:rsidRPr="00E04F50">
        <w:rPr>
          <w:b/>
          <w:i/>
          <w:sz w:val="18"/>
          <w:lang w:val="en-US"/>
        </w:rPr>
        <w:t>Conclussion:</w:t>
      </w:r>
      <w:r w:rsidRPr="00E04F50">
        <w:rPr>
          <w:b/>
          <w:i/>
          <w:spacing w:val="1"/>
          <w:sz w:val="18"/>
          <w:lang w:val="en-US"/>
        </w:rPr>
        <w:t xml:space="preserve"> </w:t>
      </w:r>
      <w:r w:rsidRPr="00E04F50">
        <w:rPr>
          <w:i/>
          <w:sz w:val="18"/>
          <w:lang w:val="en-US"/>
        </w:rPr>
        <w:t>The</w:t>
      </w:r>
      <w:r w:rsidRPr="00E04F50">
        <w:rPr>
          <w:i/>
          <w:spacing w:val="-6"/>
          <w:sz w:val="18"/>
          <w:lang w:val="en-US"/>
        </w:rPr>
        <w:t xml:space="preserve"> </w:t>
      </w:r>
      <w:r w:rsidRPr="00E04F50">
        <w:rPr>
          <w:i/>
          <w:sz w:val="18"/>
          <w:lang w:val="en-US"/>
        </w:rPr>
        <w:t>frequency</w:t>
      </w:r>
      <w:r w:rsidRPr="00E04F50">
        <w:rPr>
          <w:i/>
          <w:spacing w:val="-6"/>
          <w:sz w:val="18"/>
          <w:lang w:val="en-US"/>
        </w:rPr>
        <w:t xml:space="preserve"> </w:t>
      </w:r>
      <w:r w:rsidRPr="00E04F50">
        <w:rPr>
          <w:i/>
          <w:sz w:val="18"/>
          <w:lang w:val="en-US"/>
        </w:rPr>
        <w:t>of</w:t>
      </w:r>
      <w:r w:rsidRPr="00E04F50">
        <w:rPr>
          <w:i/>
          <w:spacing w:val="-4"/>
          <w:sz w:val="18"/>
          <w:lang w:val="en-US"/>
        </w:rPr>
        <w:t xml:space="preserve"> </w:t>
      </w:r>
      <w:r w:rsidRPr="00E04F50">
        <w:rPr>
          <w:i/>
          <w:sz w:val="18"/>
          <w:lang w:val="en-US"/>
        </w:rPr>
        <w:t>human</w:t>
      </w:r>
      <w:r w:rsidRPr="00E04F50">
        <w:rPr>
          <w:i/>
          <w:spacing w:val="-6"/>
          <w:sz w:val="18"/>
          <w:lang w:val="en-US"/>
        </w:rPr>
        <w:t xml:space="preserve"> </w:t>
      </w:r>
      <w:r w:rsidRPr="00E04F50">
        <w:rPr>
          <w:i/>
          <w:sz w:val="18"/>
          <w:lang w:val="en-US"/>
        </w:rPr>
        <w:t>papilomavirus</w:t>
      </w:r>
      <w:r w:rsidRPr="00E04F50">
        <w:rPr>
          <w:i/>
          <w:spacing w:val="-4"/>
          <w:sz w:val="18"/>
          <w:lang w:val="en-US"/>
        </w:rPr>
        <w:t xml:space="preserve"> </w:t>
      </w:r>
      <w:r w:rsidRPr="00E04F50">
        <w:rPr>
          <w:i/>
          <w:sz w:val="18"/>
          <w:lang w:val="en-US"/>
        </w:rPr>
        <w:t>was</w:t>
      </w:r>
      <w:r w:rsidRPr="00E04F50">
        <w:rPr>
          <w:i/>
          <w:spacing w:val="-5"/>
          <w:sz w:val="18"/>
          <w:lang w:val="en-US"/>
        </w:rPr>
        <w:t xml:space="preserve"> </w:t>
      </w:r>
      <w:r w:rsidRPr="00E04F50">
        <w:rPr>
          <w:i/>
          <w:sz w:val="18"/>
          <w:lang w:val="en-US"/>
        </w:rPr>
        <w:t>higher</w:t>
      </w:r>
      <w:r w:rsidRPr="00E04F50">
        <w:rPr>
          <w:i/>
          <w:spacing w:val="-4"/>
          <w:sz w:val="18"/>
          <w:lang w:val="en-US"/>
        </w:rPr>
        <w:t xml:space="preserve"> </w:t>
      </w:r>
      <w:r w:rsidRPr="00E04F50">
        <w:rPr>
          <w:i/>
          <w:sz w:val="18"/>
          <w:lang w:val="en-US"/>
        </w:rPr>
        <w:t>among</w:t>
      </w:r>
      <w:r w:rsidRPr="00E04F50">
        <w:rPr>
          <w:i/>
          <w:spacing w:val="-6"/>
          <w:sz w:val="18"/>
          <w:lang w:val="en-US"/>
        </w:rPr>
        <w:t xml:space="preserve"> </w:t>
      </w:r>
      <w:r w:rsidRPr="00E04F50">
        <w:rPr>
          <w:i/>
          <w:sz w:val="18"/>
          <w:lang w:val="en-US"/>
        </w:rPr>
        <w:t>women</w:t>
      </w:r>
      <w:r w:rsidRPr="00E04F50">
        <w:rPr>
          <w:i/>
          <w:spacing w:val="-6"/>
          <w:sz w:val="18"/>
          <w:lang w:val="en-US"/>
        </w:rPr>
        <w:t xml:space="preserve"> </w:t>
      </w:r>
      <w:r w:rsidRPr="00E04F50">
        <w:rPr>
          <w:i/>
          <w:sz w:val="18"/>
          <w:lang w:val="en-US"/>
        </w:rPr>
        <w:t>of</w:t>
      </w:r>
      <w:r w:rsidRPr="00E04F50">
        <w:rPr>
          <w:i/>
          <w:spacing w:val="-6"/>
          <w:sz w:val="18"/>
          <w:lang w:val="en-US"/>
        </w:rPr>
        <w:t xml:space="preserve"> </w:t>
      </w:r>
      <w:r w:rsidRPr="00E04F50">
        <w:rPr>
          <w:i/>
          <w:sz w:val="18"/>
          <w:lang w:val="en-US"/>
        </w:rPr>
        <w:t>30</w:t>
      </w:r>
      <w:r w:rsidRPr="00E04F50">
        <w:rPr>
          <w:i/>
          <w:spacing w:val="-5"/>
          <w:sz w:val="18"/>
          <w:lang w:val="en-US"/>
        </w:rPr>
        <w:t xml:space="preserve"> </w:t>
      </w:r>
      <w:r w:rsidRPr="00E04F50">
        <w:rPr>
          <w:i/>
          <w:sz w:val="18"/>
          <w:lang w:val="en-US"/>
        </w:rPr>
        <w:t>to</w:t>
      </w:r>
      <w:r w:rsidRPr="00E04F50">
        <w:rPr>
          <w:i/>
          <w:spacing w:val="-6"/>
          <w:sz w:val="18"/>
          <w:lang w:val="en-US"/>
        </w:rPr>
        <w:t xml:space="preserve"> </w:t>
      </w:r>
      <w:r w:rsidRPr="00E04F50">
        <w:rPr>
          <w:i/>
          <w:sz w:val="18"/>
          <w:lang w:val="en-US"/>
        </w:rPr>
        <w:t>49</w:t>
      </w:r>
      <w:r w:rsidRPr="00E04F50">
        <w:rPr>
          <w:i/>
          <w:spacing w:val="-4"/>
          <w:sz w:val="18"/>
          <w:lang w:val="en-US"/>
        </w:rPr>
        <w:t xml:space="preserve"> </w:t>
      </w:r>
      <w:r w:rsidRPr="00E04F50">
        <w:rPr>
          <w:i/>
          <w:sz w:val="18"/>
          <w:lang w:val="en-US"/>
        </w:rPr>
        <w:t>years</w:t>
      </w:r>
      <w:r w:rsidRPr="00E04F50">
        <w:rPr>
          <w:i/>
          <w:spacing w:val="-3"/>
          <w:sz w:val="18"/>
          <w:lang w:val="en-US"/>
        </w:rPr>
        <w:t xml:space="preserve"> </w:t>
      </w:r>
      <w:r w:rsidRPr="00E04F50">
        <w:rPr>
          <w:i/>
          <w:sz w:val="18"/>
          <w:lang w:val="en-US"/>
        </w:rPr>
        <w:t>old,</w:t>
      </w:r>
      <w:r w:rsidRPr="00E04F50">
        <w:rPr>
          <w:i/>
          <w:spacing w:val="-4"/>
          <w:sz w:val="18"/>
          <w:lang w:val="en-US"/>
        </w:rPr>
        <w:t xml:space="preserve"> </w:t>
      </w:r>
      <w:r w:rsidRPr="00E04F50">
        <w:rPr>
          <w:i/>
          <w:sz w:val="18"/>
          <w:lang w:val="en-US"/>
        </w:rPr>
        <w:t>with menarche age between 12 to 15 years, with history of teenage pregnancy, multiple births, use of contraceptives,</w:t>
      </w:r>
      <w:r w:rsidRPr="00E04F50">
        <w:rPr>
          <w:i/>
          <w:spacing w:val="-2"/>
          <w:sz w:val="18"/>
          <w:lang w:val="en-US"/>
        </w:rPr>
        <w:t xml:space="preserve"> </w:t>
      </w:r>
      <w:r w:rsidRPr="00E04F50">
        <w:rPr>
          <w:i/>
          <w:sz w:val="18"/>
          <w:lang w:val="en-US"/>
        </w:rPr>
        <w:t>age</w:t>
      </w:r>
      <w:r w:rsidRPr="00E04F50">
        <w:rPr>
          <w:i/>
          <w:spacing w:val="-1"/>
          <w:sz w:val="18"/>
          <w:lang w:val="en-US"/>
        </w:rPr>
        <w:t xml:space="preserve"> </w:t>
      </w:r>
      <w:r w:rsidRPr="00E04F50">
        <w:rPr>
          <w:i/>
          <w:sz w:val="18"/>
          <w:lang w:val="en-US"/>
        </w:rPr>
        <w:t>of</w:t>
      </w:r>
      <w:r w:rsidRPr="00E04F50">
        <w:rPr>
          <w:i/>
          <w:spacing w:val="-3"/>
          <w:sz w:val="18"/>
          <w:lang w:val="en-US"/>
        </w:rPr>
        <w:t xml:space="preserve"> </w:t>
      </w:r>
      <w:r w:rsidRPr="00E04F50">
        <w:rPr>
          <w:i/>
          <w:sz w:val="18"/>
          <w:lang w:val="en-US"/>
        </w:rPr>
        <w:t>sexual</w:t>
      </w:r>
      <w:r w:rsidRPr="00E04F50">
        <w:rPr>
          <w:i/>
          <w:spacing w:val="-1"/>
          <w:sz w:val="18"/>
          <w:lang w:val="en-US"/>
        </w:rPr>
        <w:t xml:space="preserve"> </w:t>
      </w:r>
      <w:r w:rsidRPr="00E04F50">
        <w:rPr>
          <w:i/>
          <w:sz w:val="18"/>
          <w:lang w:val="en-US"/>
        </w:rPr>
        <w:t>initiation</w:t>
      </w:r>
      <w:r w:rsidRPr="00E04F50">
        <w:rPr>
          <w:i/>
          <w:spacing w:val="-3"/>
          <w:sz w:val="18"/>
          <w:lang w:val="en-US"/>
        </w:rPr>
        <w:t xml:space="preserve"> </w:t>
      </w:r>
      <w:r w:rsidRPr="00E04F50">
        <w:rPr>
          <w:i/>
          <w:sz w:val="18"/>
          <w:lang w:val="en-US"/>
        </w:rPr>
        <w:t>between</w:t>
      </w:r>
      <w:r w:rsidRPr="00E04F50">
        <w:rPr>
          <w:i/>
          <w:spacing w:val="-1"/>
          <w:sz w:val="18"/>
          <w:lang w:val="en-US"/>
        </w:rPr>
        <w:t xml:space="preserve"> </w:t>
      </w:r>
      <w:r w:rsidRPr="00E04F50">
        <w:rPr>
          <w:i/>
          <w:sz w:val="18"/>
          <w:lang w:val="en-US"/>
        </w:rPr>
        <w:t>14</w:t>
      </w:r>
      <w:r w:rsidRPr="00E04F50">
        <w:rPr>
          <w:i/>
          <w:spacing w:val="-1"/>
          <w:sz w:val="18"/>
          <w:lang w:val="en-US"/>
        </w:rPr>
        <w:t xml:space="preserve"> </w:t>
      </w:r>
      <w:r w:rsidRPr="00E04F50">
        <w:rPr>
          <w:i/>
          <w:sz w:val="18"/>
          <w:lang w:val="en-US"/>
        </w:rPr>
        <w:t>to</w:t>
      </w:r>
      <w:r w:rsidRPr="00E04F50">
        <w:rPr>
          <w:i/>
          <w:spacing w:val="-4"/>
          <w:sz w:val="18"/>
          <w:lang w:val="en-US"/>
        </w:rPr>
        <w:t xml:space="preserve"> </w:t>
      </w:r>
      <w:r w:rsidRPr="00E04F50">
        <w:rPr>
          <w:i/>
          <w:sz w:val="18"/>
          <w:lang w:val="en-US"/>
        </w:rPr>
        <w:t>19</w:t>
      </w:r>
      <w:r w:rsidRPr="00E04F50">
        <w:rPr>
          <w:i/>
          <w:spacing w:val="-3"/>
          <w:sz w:val="18"/>
          <w:lang w:val="en-US"/>
        </w:rPr>
        <w:t xml:space="preserve"> </w:t>
      </w:r>
      <w:r w:rsidRPr="00E04F50">
        <w:rPr>
          <w:i/>
          <w:sz w:val="18"/>
          <w:lang w:val="en-US"/>
        </w:rPr>
        <w:t>and</w:t>
      </w:r>
      <w:r w:rsidRPr="00E04F50">
        <w:rPr>
          <w:i/>
          <w:spacing w:val="-3"/>
          <w:sz w:val="18"/>
          <w:lang w:val="en-US"/>
        </w:rPr>
        <w:t xml:space="preserve"> </w:t>
      </w:r>
      <w:r w:rsidRPr="00E04F50">
        <w:rPr>
          <w:i/>
          <w:sz w:val="18"/>
          <w:lang w:val="en-US"/>
        </w:rPr>
        <w:t>history</w:t>
      </w:r>
      <w:r w:rsidRPr="00E04F50">
        <w:rPr>
          <w:i/>
          <w:spacing w:val="-2"/>
          <w:sz w:val="18"/>
          <w:lang w:val="en-US"/>
        </w:rPr>
        <w:t xml:space="preserve"> </w:t>
      </w:r>
      <w:r w:rsidRPr="00E04F50">
        <w:rPr>
          <w:i/>
          <w:sz w:val="18"/>
          <w:lang w:val="en-US"/>
        </w:rPr>
        <w:t>of</w:t>
      </w:r>
      <w:r w:rsidRPr="00E04F50">
        <w:rPr>
          <w:i/>
          <w:spacing w:val="-1"/>
          <w:sz w:val="18"/>
          <w:lang w:val="en-US"/>
        </w:rPr>
        <w:t xml:space="preserve"> </w:t>
      </w:r>
      <w:r w:rsidRPr="00E04F50">
        <w:rPr>
          <w:i/>
          <w:sz w:val="18"/>
          <w:lang w:val="en-US"/>
        </w:rPr>
        <w:t>sexual</w:t>
      </w:r>
      <w:r w:rsidRPr="00E04F50">
        <w:rPr>
          <w:i/>
          <w:spacing w:val="-1"/>
          <w:sz w:val="18"/>
          <w:lang w:val="en-US"/>
        </w:rPr>
        <w:t xml:space="preserve"> </w:t>
      </w:r>
      <w:r w:rsidRPr="00E04F50">
        <w:rPr>
          <w:i/>
          <w:sz w:val="18"/>
          <w:lang w:val="en-US"/>
        </w:rPr>
        <w:t>transmitted</w:t>
      </w:r>
      <w:r w:rsidRPr="00E04F50">
        <w:rPr>
          <w:i/>
          <w:spacing w:val="-25"/>
          <w:sz w:val="18"/>
          <w:lang w:val="en-US"/>
        </w:rPr>
        <w:t xml:space="preserve"> </w:t>
      </w:r>
      <w:r w:rsidRPr="00E04F50">
        <w:rPr>
          <w:i/>
          <w:sz w:val="18"/>
          <w:lang w:val="en-US"/>
        </w:rPr>
        <w:t>infection.</w:t>
      </w:r>
    </w:p>
    <w:p w:rsidR="00B42EF6" w:rsidRPr="00E04F50" w:rsidRDefault="004565EA">
      <w:pPr>
        <w:spacing w:before="2"/>
        <w:ind w:left="204"/>
        <w:jc w:val="both"/>
        <w:rPr>
          <w:i/>
          <w:sz w:val="18"/>
          <w:lang w:val="en-US"/>
        </w:rPr>
      </w:pPr>
      <w:r w:rsidRPr="00E04F50">
        <w:rPr>
          <w:b/>
          <w:i/>
          <w:sz w:val="18"/>
          <w:lang w:val="en-US"/>
        </w:rPr>
        <w:t xml:space="preserve">Key words: </w:t>
      </w:r>
      <w:r w:rsidRPr="00E04F50">
        <w:rPr>
          <w:i/>
          <w:sz w:val="18"/>
          <w:lang w:val="en-US"/>
        </w:rPr>
        <w:t>Cervical cancer, Human papilomavirus, prevalence, risk factor, Papanicolau.</w:t>
      </w:r>
    </w:p>
    <w:p w:rsidR="00B42EF6" w:rsidRPr="00E04F50" w:rsidRDefault="00B42EF6">
      <w:pPr>
        <w:pStyle w:val="Textoindependiente"/>
        <w:rPr>
          <w:i/>
          <w:sz w:val="20"/>
          <w:lang w:val="en-US"/>
        </w:rPr>
      </w:pPr>
    </w:p>
    <w:p w:rsidR="00B42EF6" w:rsidRPr="00E04F50" w:rsidRDefault="00B42EF6">
      <w:pPr>
        <w:pStyle w:val="Textoindependiente"/>
        <w:spacing w:before="9"/>
        <w:rPr>
          <w:i/>
          <w:sz w:val="15"/>
          <w:lang w:val="en-US"/>
        </w:rPr>
      </w:pPr>
    </w:p>
    <w:p w:rsidR="00B42EF6" w:rsidRDefault="004565EA">
      <w:pPr>
        <w:spacing w:before="1"/>
        <w:ind w:left="204"/>
        <w:jc w:val="both"/>
        <w:rPr>
          <w:sz w:val="16"/>
        </w:rPr>
      </w:pPr>
      <w:r>
        <w:rPr>
          <w:sz w:val="16"/>
        </w:rPr>
        <w:t>(1) Obstetra. Especialista en atención con mención en prevención del cáncer ginecológico.</w:t>
      </w:r>
    </w:p>
    <w:p w:rsidR="00B42EF6" w:rsidRDefault="00B42EF6">
      <w:pPr>
        <w:jc w:val="both"/>
        <w:rPr>
          <w:sz w:val="16"/>
        </w:rPr>
        <w:sectPr w:rsidR="00B42EF6">
          <w:footerReference w:type="default" r:id="rId8"/>
          <w:type w:val="continuous"/>
          <w:pgSz w:w="11920" w:h="16850"/>
          <w:pgMar w:top="1320" w:right="1580" w:bottom="1420" w:left="1500" w:header="720" w:footer="1226" w:gutter="0"/>
          <w:cols w:space="720"/>
        </w:sectPr>
      </w:pPr>
    </w:p>
    <w:p w:rsidR="00B42EF6" w:rsidRDefault="004565EA">
      <w:pPr>
        <w:pStyle w:val="Ttulo3"/>
        <w:spacing w:before="84"/>
      </w:pPr>
      <w:r>
        <w:lastRenderedPageBreak/>
        <w:t>Introducción</w:t>
      </w:r>
    </w:p>
    <w:p w:rsidR="00B42EF6" w:rsidRDefault="00B42EF6">
      <w:pPr>
        <w:pStyle w:val="Textoindependiente"/>
        <w:spacing w:before="9"/>
        <w:rPr>
          <w:b/>
          <w:sz w:val="20"/>
        </w:rPr>
      </w:pPr>
    </w:p>
    <w:p w:rsidR="00B42EF6" w:rsidRDefault="004565EA">
      <w:pPr>
        <w:pStyle w:val="Textoindependiente"/>
        <w:spacing w:line="237" w:lineRule="auto"/>
        <w:ind w:left="204" w:right="111"/>
        <w:jc w:val="both"/>
      </w:pPr>
      <w:r>
        <w:t>El cáncer cervicouterino es un problema de salud pública que afecta principalmente a las</w:t>
      </w:r>
      <w:r>
        <w:rPr>
          <w:spacing w:val="-11"/>
        </w:rPr>
        <w:t xml:space="preserve"> </w:t>
      </w:r>
      <w:r>
        <w:t>mujeres</w:t>
      </w:r>
      <w:r>
        <w:rPr>
          <w:spacing w:val="-10"/>
        </w:rPr>
        <w:t xml:space="preserve"> </w:t>
      </w:r>
      <w:r>
        <w:t>de</w:t>
      </w:r>
      <w:r>
        <w:rPr>
          <w:spacing w:val="-14"/>
        </w:rPr>
        <w:t xml:space="preserve"> </w:t>
      </w:r>
      <w:r>
        <w:t>los</w:t>
      </w:r>
      <w:r>
        <w:rPr>
          <w:spacing w:val="-10"/>
        </w:rPr>
        <w:t xml:space="preserve"> </w:t>
      </w:r>
      <w:r>
        <w:t>países</w:t>
      </w:r>
      <w:r>
        <w:rPr>
          <w:spacing w:val="-11"/>
        </w:rPr>
        <w:t xml:space="preserve"> </w:t>
      </w:r>
      <w:r>
        <w:t>en</w:t>
      </w:r>
      <w:r>
        <w:rPr>
          <w:spacing w:val="-13"/>
        </w:rPr>
        <w:t xml:space="preserve"> </w:t>
      </w:r>
      <w:r>
        <w:t>desarrollo.</w:t>
      </w:r>
      <w:r>
        <w:rPr>
          <w:spacing w:val="-12"/>
        </w:rPr>
        <w:t xml:space="preserve"> </w:t>
      </w:r>
      <w:r>
        <w:t>La</w:t>
      </w:r>
      <w:r>
        <w:rPr>
          <w:spacing w:val="-14"/>
        </w:rPr>
        <w:t xml:space="preserve"> </w:t>
      </w:r>
      <w:r>
        <w:t>región</w:t>
      </w:r>
      <w:r>
        <w:rPr>
          <w:spacing w:val="-17"/>
        </w:rPr>
        <w:t xml:space="preserve"> </w:t>
      </w:r>
      <w:r>
        <w:t>de</w:t>
      </w:r>
      <w:r>
        <w:rPr>
          <w:spacing w:val="-11"/>
        </w:rPr>
        <w:t xml:space="preserve"> </w:t>
      </w:r>
      <w:r>
        <w:t>las</w:t>
      </w:r>
      <w:r>
        <w:rPr>
          <w:spacing w:val="-13"/>
        </w:rPr>
        <w:t xml:space="preserve"> </w:t>
      </w:r>
      <w:r>
        <w:t>Américas</w:t>
      </w:r>
      <w:r>
        <w:rPr>
          <w:spacing w:val="-14"/>
        </w:rPr>
        <w:t xml:space="preserve"> </w:t>
      </w:r>
      <w:r>
        <w:t>tiene</w:t>
      </w:r>
      <w:r>
        <w:rPr>
          <w:spacing w:val="-10"/>
        </w:rPr>
        <w:t xml:space="preserve"> </w:t>
      </w:r>
      <w:r>
        <w:t>una</w:t>
      </w:r>
      <w:r>
        <w:rPr>
          <w:spacing w:val="-10"/>
        </w:rPr>
        <w:t xml:space="preserve"> </w:t>
      </w:r>
      <w:r>
        <w:t>de</w:t>
      </w:r>
      <w:r>
        <w:rPr>
          <w:spacing w:val="-14"/>
        </w:rPr>
        <w:t xml:space="preserve"> </w:t>
      </w:r>
      <w:r>
        <w:t>las</w:t>
      </w:r>
      <w:r>
        <w:rPr>
          <w:spacing w:val="-13"/>
        </w:rPr>
        <w:t xml:space="preserve"> </w:t>
      </w:r>
      <w:r>
        <w:t>tasas de</w:t>
      </w:r>
      <w:r>
        <w:rPr>
          <w:spacing w:val="-6"/>
        </w:rPr>
        <w:t xml:space="preserve"> </w:t>
      </w:r>
      <w:r>
        <w:t>incidencia</w:t>
      </w:r>
      <w:r>
        <w:rPr>
          <w:spacing w:val="-4"/>
        </w:rPr>
        <w:t xml:space="preserve"> </w:t>
      </w:r>
      <w:r>
        <w:t>y</w:t>
      </w:r>
      <w:r>
        <w:rPr>
          <w:spacing w:val="-7"/>
        </w:rPr>
        <w:t xml:space="preserve"> </w:t>
      </w:r>
      <w:r>
        <w:t>mortalidad</w:t>
      </w:r>
      <w:r>
        <w:rPr>
          <w:spacing w:val="-3"/>
        </w:rPr>
        <w:t xml:space="preserve"> </w:t>
      </w:r>
      <w:r>
        <w:t>por</w:t>
      </w:r>
      <w:r>
        <w:rPr>
          <w:spacing w:val="-7"/>
        </w:rPr>
        <w:t xml:space="preserve"> </w:t>
      </w:r>
      <w:r>
        <w:t>cáncer</w:t>
      </w:r>
      <w:r>
        <w:rPr>
          <w:spacing w:val="-5"/>
        </w:rPr>
        <w:t xml:space="preserve"> </w:t>
      </w:r>
      <w:r>
        <w:t>cervicouterino</w:t>
      </w:r>
      <w:r>
        <w:rPr>
          <w:spacing w:val="-4"/>
        </w:rPr>
        <w:t xml:space="preserve"> </w:t>
      </w:r>
      <w:r>
        <w:t>más</w:t>
      </w:r>
      <w:r>
        <w:rPr>
          <w:spacing w:val="-9"/>
        </w:rPr>
        <w:t xml:space="preserve"> </w:t>
      </w:r>
      <w:r>
        <w:t>alta</w:t>
      </w:r>
      <w:r>
        <w:rPr>
          <w:spacing w:val="-5"/>
        </w:rPr>
        <w:t xml:space="preserve"> </w:t>
      </w:r>
      <w:r>
        <w:t>del</w:t>
      </w:r>
      <w:r>
        <w:rPr>
          <w:spacing w:val="-9"/>
        </w:rPr>
        <w:t xml:space="preserve"> </w:t>
      </w:r>
      <w:r>
        <w:t>mundo,</w:t>
      </w:r>
      <w:r>
        <w:rPr>
          <w:spacing w:val="-6"/>
        </w:rPr>
        <w:t xml:space="preserve"> </w:t>
      </w:r>
      <w:r>
        <w:t>sólo</w:t>
      </w:r>
      <w:r>
        <w:rPr>
          <w:spacing w:val="-4"/>
        </w:rPr>
        <w:t xml:space="preserve"> </w:t>
      </w:r>
      <w:r>
        <w:t>superada por África y</w:t>
      </w:r>
      <w:r>
        <w:rPr>
          <w:spacing w:val="-7"/>
        </w:rPr>
        <w:t xml:space="preserve"> </w:t>
      </w:r>
      <w:r>
        <w:t>Asia</w:t>
      </w:r>
      <w:r>
        <w:rPr>
          <w:position w:val="8"/>
          <w:sz w:val="14"/>
        </w:rPr>
        <w:t>1</w:t>
      </w:r>
      <w:r>
        <w:t>.</w:t>
      </w:r>
    </w:p>
    <w:p w:rsidR="00B42EF6" w:rsidRDefault="00B42EF6">
      <w:pPr>
        <w:pStyle w:val="Textoindependiente"/>
        <w:spacing w:before="9"/>
        <w:rPr>
          <w:sz w:val="21"/>
        </w:rPr>
      </w:pPr>
    </w:p>
    <w:p w:rsidR="00B42EF6" w:rsidRDefault="004565EA">
      <w:pPr>
        <w:pStyle w:val="Textoindependiente"/>
        <w:spacing w:before="1"/>
        <w:ind w:left="204" w:right="107"/>
        <w:jc w:val="both"/>
      </w:pPr>
      <w:r>
        <w:t xml:space="preserve">La incidencia en Sud América es de 20.3 por 100.000 mujeres por año. Estas cifras difieren de las </w:t>
      </w:r>
      <w:r>
        <w:t>incidencias de países desarrollados, por ejemplo los países de Europa presentan</w:t>
      </w:r>
      <w:r>
        <w:rPr>
          <w:spacing w:val="-8"/>
        </w:rPr>
        <w:t xml:space="preserve"> </w:t>
      </w:r>
      <w:r>
        <w:t>incidencias</w:t>
      </w:r>
      <w:r>
        <w:rPr>
          <w:spacing w:val="-4"/>
        </w:rPr>
        <w:t xml:space="preserve"> </w:t>
      </w:r>
      <w:r>
        <w:t>de</w:t>
      </w:r>
      <w:r>
        <w:rPr>
          <w:spacing w:val="-5"/>
        </w:rPr>
        <w:t xml:space="preserve"> </w:t>
      </w:r>
      <w:r>
        <w:t>8.7,</w:t>
      </w:r>
      <w:r>
        <w:rPr>
          <w:spacing w:val="-3"/>
        </w:rPr>
        <w:t xml:space="preserve"> </w:t>
      </w:r>
      <w:r>
        <w:t>8.5</w:t>
      </w:r>
      <w:r>
        <w:rPr>
          <w:spacing w:val="-5"/>
        </w:rPr>
        <w:t xml:space="preserve"> </w:t>
      </w:r>
      <w:r>
        <w:t>y</w:t>
      </w:r>
      <w:r>
        <w:rPr>
          <w:spacing w:val="-6"/>
        </w:rPr>
        <w:t xml:space="preserve"> </w:t>
      </w:r>
      <w:r>
        <w:t>7.3</w:t>
      </w:r>
      <w:r>
        <w:rPr>
          <w:spacing w:val="-4"/>
        </w:rPr>
        <w:t xml:space="preserve"> </w:t>
      </w:r>
      <w:r>
        <w:t>por</w:t>
      </w:r>
      <w:r>
        <w:rPr>
          <w:spacing w:val="-4"/>
        </w:rPr>
        <w:t xml:space="preserve"> </w:t>
      </w:r>
      <w:r>
        <w:t>100.000</w:t>
      </w:r>
      <w:r>
        <w:rPr>
          <w:spacing w:val="-4"/>
        </w:rPr>
        <w:t xml:space="preserve"> </w:t>
      </w:r>
      <w:r>
        <w:t>mujeres</w:t>
      </w:r>
      <w:r>
        <w:rPr>
          <w:spacing w:val="-5"/>
        </w:rPr>
        <w:t xml:space="preserve"> </w:t>
      </w:r>
      <w:r>
        <w:t>en</w:t>
      </w:r>
      <w:r>
        <w:rPr>
          <w:spacing w:val="-4"/>
        </w:rPr>
        <w:t xml:space="preserve"> </w:t>
      </w:r>
      <w:r>
        <w:t>el</w:t>
      </w:r>
      <w:r>
        <w:rPr>
          <w:spacing w:val="-5"/>
        </w:rPr>
        <w:t xml:space="preserve"> </w:t>
      </w:r>
      <w:r>
        <w:t>Norte,</w:t>
      </w:r>
      <w:r>
        <w:rPr>
          <w:spacing w:val="-3"/>
        </w:rPr>
        <w:t xml:space="preserve"> </w:t>
      </w:r>
      <w:r>
        <w:t>Sur</w:t>
      </w:r>
      <w:r>
        <w:rPr>
          <w:spacing w:val="-3"/>
        </w:rPr>
        <w:t xml:space="preserve"> </w:t>
      </w:r>
      <w:r>
        <w:t>y</w:t>
      </w:r>
      <w:r>
        <w:rPr>
          <w:spacing w:val="-7"/>
        </w:rPr>
        <w:t xml:space="preserve"> </w:t>
      </w:r>
      <w:r>
        <w:t>Oeste</w:t>
      </w:r>
      <w:r>
        <w:rPr>
          <w:spacing w:val="-6"/>
        </w:rPr>
        <w:t xml:space="preserve"> </w:t>
      </w:r>
      <w:r>
        <w:t>de Europa respectivamente. En el año 2012, se reportaron 24.385 muertes por cáncer cervicouterino</w:t>
      </w:r>
      <w:r>
        <w:rPr>
          <w:spacing w:val="-11"/>
        </w:rPr>
        <w:t xml:space="preserve"> </w:t>
      </w:r>
      <w:r>
        <w:t>en</w:t>
      </w:r>
      <w:r>
        <w:rPr>
          <w:spacing w:val="-10"/>
        </w:rPr>
        <w:t xml:space="preserve"> </w:t>
      </w:r>
      <w:r>
        <w:t>Europa;</w:t>
      </w:r>
      <w:r>
        <w:rPr>
          <w:spacing w:val="-6"/>
        </w:rPr>
        <w:t xml:space="preserve"> </w:t>
      </w:r>
      <w:r>
        <w:t>en</w:t>
      </w:r>
      <w:r>
        <w:rPr>
          <w:spacing w:val="-13"/>
        </w:rPr>
        <w:t xml:space="preserve"> </w:t>
      </w:r>
      <w:r>
        <w:t>América</w:t>
      </w:r>
      <w:r>
        <w:rPr>
          <w:spacing w:val="-14"/>
        </w:rPr>
        <w:t xml:space="preserve"> </w:t>
      </w:r>
      <w:r>
        <w:t>83,100</w:t>
      </w:r>
      <w:r>
        <w:rPr>
          <w:spacing w:val="-15"/>
        </w:rPr>
        <w:t xml:space="preserve"> </w:t>
      </w:r>
      <w:r>
        <w:t>mujeres</w:t>
      </w:r>
      <w:r>
        <w:rPr>
          <w:spacing w:val="-14"/>
        </w:rPr>
        <w:t xml:space="preserve"> </w:t>
      </w:r>
      <w:r>
        <w:t>fueron</w:t>
      </w:r>
      <w:r>
        <w:rPr>
          <w:spacing w:val="-11"/>
        </w:rPr>
        <w:t xml:space="preserve"> </w:t>
      </w:r>
      <w:r>
        <w:t>diagnosticadas</w:t>
      </w:r>
      <w:r>
        <w:rPr>
          <w:spacing w:val="-9"/>
        </w:rPr>
        <w:t xml:space="preserve"> </w:t>
      </w:r>
      <w:r>
        <w:t>con</w:t>
      </w:r>
      <w:r>
        <w:rPr>
          <w:spacing w:val="-12"/>
        </w:rPr>
        <w:t xml:space="preserve"> </w:t>
      </w:r>
      <w:r>
        <w:t>cáncer cervicouterino y 35,7000 fallecieron por esta enfermedad</w:t>
      </w:r>
      <w:r>
        <w:rPr>
          <w:spacing w:val="-19"/>
        </w:rPr>
        <w:t xml:space="preserve"> </w:t>
      </w:r>
      <w:r>
        <w:rPr>
          <w:position w:val="8"/>
          <w:sz w:val="14"/>
        </w:rPr>
        <w:t>2</w:t>
      </w:r>
      <w:r>
        <w:t>.</w:t>
      </w:r>
    </w:p>
    <w:p w:rsidR="00B42EF6" w:rsidRDefault="00B42EF6">
      <w:pPr>
        <w:pStyle w:val="Textoindependiente"/>
        <w:spacing w:before="2"/>
      </w:pPr>
    </w:p>
    <w:p w:rsidR="00B42EF6" w:rsidRDefault="004565EA">
      <w:pPr>
        <w:pStyle w:val="Textoindependiente"/>
        <w:ind w:left="204" w:right="108"/>
        <w:jc w:val="both"/>
      </w:pPr>
      <w:r>
        <w:t>En</w:t>
      </w:r>
      <w:r>
        <w:rPr>
          <w:spacing w:val="-11"/>
        </w:rPr>
        <w:t xml:space="preserve"> </w:t>
      </w:r>
      <w:r>
        <w:t>Latinoamérica</w:t>
      </w:r>
      <w:r>
        <w:rPr>
          <w:spacing w:val="-15"/>
        </w:rPr>
        <w:t xml:space="preserve"> </w:t>
      </w:r>
      <w:r>
        <w:t>la</w:t>
      </w:r>
      <w:r>
        <w:rPr>
          <w:spacing w:val="-12"/>
        </w:rPr>
        <w:t xml:space="preserve"> </w:t>
      </w:r>
      <w:r>
        <w:t>incidencia</w:t>
      </w:r>
      <w:r>
        <w:rPr>
          <w:spacing w:val="-10"/>
        </w:rPr>
        <w:t xml:space="preserve"> </w:t>
      </w:r>
      <w:r>
        <w:t>es</w:t>
      </w:r>
      <w:r>
        <w:rPr>
          <w:spacing w:val="-15"/>
        </w:rPr>
        <w:t xml:space="preserve"> </w:t>
      </w:r>
      <w:r>
        <w:t>de</w:t>
      </w:r>
      <w:r>
        <w:rPr>
          <w:spacing w:val="-14"/>
        </w:rPr>
        <w:t xml:space="preserve"> </w:t>
      </w:r>
      <w:r>
        <w:t>21,2</w:t>
      </w:r>
      <w:r>
        <w:rPr>
          <w:spacing w:val="-15"/>
        </w:rPr>
        <w:t xml:space="preserve"> </w:t>
      </w:r>
      <w:r>
        <w:t>y</w:t>
      </w:r>
      <w:r>
        <w:rPr>
          <w:spacing w:val="-17"/>
        </w:rPr>
        <w:t xml:space="preserve"> </w:t>
      </w:r>
      <w:r>
        <w:t>en</w:t>
      </w:r>
      <w:r>
        <w:rPr>
          <w:spacing w:val="-15"/>
        </w:rPr>
        <w:t xml:space="preserve"> </w:t>
      </w:r>
      <w:r>
        <w:t>el</w:t>
      </w:r>
      <w:r>
        <w:rPr>
          <w:spacing w:val="-13"/>
        </w:rPr>
        <w:t xml:space="preserve"> </w:t>
      </w:r>
      <w:r>
        <w:t>Perú</w:t>
      </w:r>
      <w:r>
        <w:rPr>
          <w:spacing w:val="-12"/>
        </w:rPr>
        <w:t xml:space="preserve"> </w:t>
      </w:r>
      <w:r>
        <w:t>es</w:t>
      </w:r>
      <w:r>
        <w:rPr>
          <w:spacing w:val="-15"/>
        </w:rPr>
        <w:t xml:space="preserve"> </w:t>
      </w:r>
      <w:r>
        <w:t>de</w:t>
      </w:r>
      <w:r>
        <w:rPr>
          <w:spacing w:val="-15"/>
        </w:rPr>
        <w:t xml:space="preserve"> </w:t>
      </w:r>
      <w:r>
        <w:t>32,7</w:t>
      </w:r>
      <w:r>
        <w:rPr>
          <w:spacing w:val="-16"/>
        </w:rPr>
        <w:t xml:space="preserve"> </w:t>
      </w:r>
      <w:r>
        <w:t>por</w:t>
      </w:r>
      <w:r>
        <w:rPr>
          <w:spacing w:val="-13"/>
        </w:rPr>
        <w:t xml:space="preserve"> </w:t>
      </w:r>
      <w:r>
        <w:t>100</w:t>
      </w:r>
      <w:r>
        <w:rPr>
          <w:spacing w:val="-15"/>
        </w:rPr>
        <w:t xml:space="preserve"> </w:t>
      </w:r>
      <w:r>
        <w:t>mil</w:t>
      </w:r>
      <w:r>
        <w:rPr>
          <w:spacing w:val="-13"/>
        </w:rPr>
        <w:t xml:space="preserve"> </w:t>
      </w:r>
      <w:r>
        <w:t>mujeres(1). De</w:t>
      </w:r>
      <w:r>
        <w:rPr>
          <w:spacing w:val="-9"/>
        </w:rPr>
        <w:t xml:space="preserve"> </w:t>
      </w:r>
      <w:r>
        <w:t>mantenerse</w:t>
      </w:r>
      <w:r>
        <w:rPr>
          <w:spacing w:val="-8"/>
        </w:rPr>
        <w:t xml:space="preserve"> </w:t>
      </w:r>
      <w:r>
        <w:t>estas</w:t>
      </w:r>
      <w:r>
        <w:rPr>
          <w:spacing w:val="-13"/>
        </w:rPr>
        <w:t xml:space="preserve"> </w:t>
      </w:r>
      <w:r>
        <w:t>tendencias</w:t>
      </w:r>
      <w:r>
        <w:rPr>
          <w:spacing w:val="-9"/>
        </w:rPr>
        <w:t xml:space="preserve"> </w:t>
      </w:r>
      <w:r>
        <w:t>el</w:t>
      </w:r>
      <w:r>
        <w:rPr>
          <w:spacing w:val="-12"/>
        </w:rPr>
        <w:t xml:space="preserve"> </w:t>
      </w:r>
      <w:r>
        <w:t>número</w:t>
      </w:r>
      <w:r>
        <w:rPr>
          <w:spacing w:val="-9"/>
        </w:rPr>
        <w:t xml:space="preserve"> </w:t>
      </w:r>
      <w:r>
        <w:t>de</w:t>
      </w:r>
      <w:r>
        <w:rPr>
          <w:spacing w:val="-14"/>
        </w:rPr>
        <w:t xml:space="preserve"> </w:t>
      </w:r>
      <w:r>
        <w:t>muertes</w:t>
      </w:r>
      <w:r>
        <w:rPr>
          <w:spacing w:val="-11"/>
        </w:rPr>
        <w:t xml:space="preserve"> </w:t>
      </w:r>
      <w:r>
        <w:t>por</w:t>
      </w:r>
      <w:r>
        <w:rPr>
          <w:spacing w:val="-8"/>
        </w:rPr>
        <w:t xml:space="preserve"> </w:t>
      </w:r>
      <w:r>
        <w:t>este</w:t>
      </w:r>
      <w:r>
        <w:rPr>
          <w:spacing w:val="-10"/>
        </w:rPr>
        <w:t xml:space="preserve"> </w:t>
      </w:r>
      <w:r>
        <w:t>cáncer</w:t>
      </w:r>
      <w:r>
        <w:rPr>
          <w:spacing w:val="-7"/>
        </w:rPr>
        <w:t xml:space="preserve"> </w:t>
      </w:r>
      <w:r>
        <w:t>en</w:t>
      </w:r>
      <w:r>
        <w:rPr>
          <w:spacing w:val="-11"/>
        </w:rPr>
        <w:t xml:space="preserve"> </w:t>
      </w:r>
      <w:r>
        <w:t>las</w:t>
      </w:r>
      <w:r>
        <w:rPr>
          <w:spacing w:val="-9"/>
        </w:rPr>
        <w:t xml:space="preserve"> </w:t>
      </w:r>
      <w:r>
        <w:t>Américas aumentara hasta 51,000 en el 2030</w:t>
      </w:r>
      <w:r>
        <w:rPr>
          <w:position w:val="8"/>
          <w:sz w:val="14"/>
        </w:rPr>
        <w:t>3</w:t>
      </w:r>
      <w:r>
        <w:t>. En el Perú la tasa de mortalidad es 12,0</w:t>
      </w:r>
      <w:r>
        <w:rPr>
          <w:position w:val="8"/>
          <w:sz w:val="14"/>
        </w:rPr>
        <w:t>4</w:t>
      </w:r>
      <w:r>
        <w:t>. La infección</w:t>
      </w:r>
      <w:r>
        <w:rPr>
          <w:spacing w:val="-14"/>
        </w:rPr>
        <w:t xml:space="preserve"> </w:t>
      </w:r>
      <w:r>
        <w:t>por</w:t>
      </w:r>
      <w:r>
        <w:rPr>
          <w:spacing w:val="-12"/>
        </w:rPr>
        <w:t xml:space="preserve"> </w:t>
      </w:r>
      <w:r>
        <w:t>VPH</w:t>
      </w:r>
      <w:r>
        <w:rPr>
          <w:spacing w:val="-13"/>
        </w:rPr>
        <w:t xml:space="preserve"> </w:t>
      </w:r>
      <w:r>
        <w:t>está</w:t>
      </w:r>
      <w:r>
        <w:rPr>
          <w:spacing w:val="-15"/>
        </w:rPr>
        <w:t xml:space="preserve"> </w:t>
      </w:r>
      <w:r>
        <w:t>presente</w:t>
      </w:r>
      <w:r>
        <w:rPr>
          <w:spacing w:val="-12"/>
        </w:rPr>
        <w:t xml:space="preserve"> </w:t>
      </w:r>
      <w:r>
        <w:t>en</w:t>
      </w:r>
      <w:r>
        <w:rPr>
          <w:spacing w:val="-18"/>
        </w:rPr>
        <w:t xml:space="preserve"> </w:t>
      </w:r>
      <w:r>
        <w:t>mujeres</w:t>
      </w:r>
      <w:r>
        <w:rPr>
          <w:spacing w:val="-14"/>
        </w:rPr>
        <w:t xml:space="preserve"> </w:t>
      </w:r>
      <w:r>
        <w:t>citológicamente</w:t>
      </w:r>
      <w:r>
        <w:rPr>
          <w:spacing w:val="-15"/>
        </w:rPr>
        <w:t xml:space="preserve"> </w:t>
      </w:r>
      <w:r>
        <w:t>normales</w:t>
      </w:r>
      <w:r>
        <w:rPr>
          <w:spacing w:val="-15"/>
        </w:rPr>
        <w:t xml:space="preserve"> </w:t>
      </w:r>
      <w:r>
        <w:t>hasta</w:t>
      </w:r>
      <w:r>
        <w:rPr>
          <w:spacing w:val="-10"/>
        </w:rPr>
        <w:t xml:space="preserve"> </w:t>
      </w:r>
      <w:r>
        <w:t>en</w:t>
      </w:r>
      <w:r>
        <w:rPr>
          <w:spacing w:val="-16"/>
        </w:rPr>
        <w:t xml:space="preserve"> </w:t>
      </w:r>
      <w:r>
        <w:t>aquellas que se encuentran en diferentes etapas</w:t>
      </w:r>
      <w:r>
        <w:t xml:space="preserve"> de las lesiones precancerosas, y que la prevalencia de VPH aumenta con la gravedad de la</w:t>
      </w:r>
      <w:r>
        <w:rPr>
          <w:spacing w:val="-22"/>
        </w:rPr>
        <w:t xml:space="preserve"> </w:t>
      </w:r>
      <w:r>
        <w:t>lesión.</w:t>
      </w:r>
    </w:p>
    <w:p w:rsidR="00B42EF6" w:rsidRDefault="00B42EF6">
      <w:pPr>
        <w:pStyle w:val="Textoindependiente"/>
        <w:spacing w:before="10"/>
        <w:rPr>
          <w:sz w:val="21"/>
        </w:rPr>
      </w:pPr>
    </w:p>
    <w:p w:rsidR="00B42EF6" w:rsidRDefault="004565EA">
      <w:pPr>
        <w:pStyle w:val="Textoindependiente"/>
        <w:ind w:left="204" w:right="109"/>
        <w:jc w:val="both"/>
      </w:pPr>
      <w:r>
        <w:t>La infección por VPH es la enfermedad de transmisión sexual más común en personas sexualmente</w:t>
      </w:r>
      <w:r>
        <w:rPr>
          <w:spacing w:val="-4"/>
        </w:rPr>
        <w:t xml:space="preserve"> </w:t>
      </w:r>
      <w:r>
        <w:t>activas</w:t>
      </w:r>
      <w:r>
        <w:rPr>
          <w:spacing w:val="-3"/>
        </w:rPr>
        <w:t xml:space="preserve"> </w:t>
      </w:r>
      <w:r>
        <w:t>menores</w:t>
      </w:r>
      <w:r>
        <w:rPr>
          <w:spacing w:val="-6"/>
        </w:rPr>
        <w:t xml:space="preserve"> </w:t>
      </w:r>
      <w:r>
        <w:t>de</w:t>
      </w:r>
      <w:r>
        <w:rPr>
          <w:spacing w:val="-5"/>
        </w:rPr>
        <w:t xml:space="preserve"> </w:t>
      </w:r>
      <w:r>
        <w:t>30</w:t>
      </w:r>
      <w:r>
        <w:rPr>
          <w:spacing w:val="-6"/>
        </w:rPr>
        <w:t xml:space="preserve"> </w:t>
      </w:r>
      <w:r>
        <w:t>años.</w:t>
      </w:r>
      <w:r>
        <w:rPr>
          <w:spacing w:val="-5"/>
        </w:rPr>
        <w:t xml:space="preserve"> </w:t>
      </w:r>
      <w:r>
        <w:t>La</w:t>
      </w:r>
      <w:r>
        <w:rPr>
          <w:spacing w:val="-7"/>
        </w:rPr>
        <w:t xml:space="preserve"> </w:t>
      </w:r>
      <w:r>
        <w:t>mayoría</w:t>
      </w:r>
      <w:r>
        <w:rPr>
          <w:spacing w:val="-4"/>
        </w:rPr>
        <w:t xml:space="preserve"> </w:t>
      </w:r>
      <w:r>
        <w:t>de</w:t>
      </w:r>
      <w:r>
        <w:rPr>
          <w:spacing w:val="-6"/>
        </w:rPr>
        <w:t xml:space="preserve"> </w:t>
      </w:r>
      <w:r>
        <w:t>los</w:t>
      </w:r>
      <w:r>
        <w:rPr>
          <w:spacing w:val="-3"/>
        </w:rPr>
        <w:t xml:space="preserve"> </w:t>
      </w:r>
      <w:r>
        <w:t>casos</w:t>
      </w:r>
      <w:r>
        <w:rPr>
          <w:spacing w:val="-8"/>
        </w:rPr>
        <w:t xml:space="preserve"> </w:t>
      </w:r>
      <w:r>
        <w:t>son</w:t>
      </w:r>
      <w:r>
        <w:rPr>
          <w:spacing w:val="-7"/>
        </w:rPr>
        <w:t xml:space="preserve"> </w:t>
      </w:r>
      <w:r>
        <w:t>asintomáticos</w:t>
      </w:r>
      <w:r>
        <w:rPr>
          <w:spacing w:val="-2"/>
        </w:rPr>
        <w:t xml:space="preserve"> </w:t>
      </w:r>
      <w:r>
        <w:t>y desaparecen en unos meses o en unos pocos años. No obstante, la infección persistente</w:t>
      </w:r>
      <w:r>
        <w:rPr>
          <w:spacing w:val="-8"/>
        </w:rPr>
        <w:t xml:space="preserve"> </w:t>
      </w:r>
      <w:r>
        <w:t>por</w:t>
      </w:r>
      <w:r>
        <w:rPr>
          <w:spacing w:val="-7"/>
        </w:rPr>
        <w:t xml:space="preserve"> </w:t>
      </w:r>
      <w:r>
        <w:t>VPH</w:t>
      </w:r>
      <w:r>
        <w:rPr>
          <w:spacing w:val="-10"/>
        </w:rPr>
        <w:t xml:space="preserve"> </w:t>
      </w:r>
      <w:r>
        <w:t>puede</w:t>
      </w:r>
      <w:r>
        <w:rPr>
          <w:spacing w:val="-8"/>
        </w:rPr>
        <w:t xml:space="preserve"> </w:t>
      </w:r>
      <w:r>
        <w:t>dar</w:t>
      </w:r>
      <w:r>
        <w:rPr>
          <w:spacing w:val="-8"/>
        </w:rPr>
        <w:t xml:space="preserve"> </w:t>
      </w:r>
      <w:r>
        <w:t>lugar</w:t>
      </w:r>
      <w:r>
        <w:rPr>
          <w:spacing w:val="-9"/>
        </w:rPr>
        <w:t xml:space="preserve"> </w:t>
      </w:r>
      <w:r>
        <w:t>a</w:t>
      </w:r>
      <w:r>
        <w:rPr>
          <w:spacing w:val="-8"/>
        </w:rPr>
        <w:t xml:space="preserve"> </w:t>
      </w:r>
      <w:r>
        <w:t>lesiones</w:t>
      </w:r>
      <w:r>
        <w:rPr>
          <w:spacing w:val="-10"/>
        </w:rPr>
        <w:t xml:space="preserve"> </w:t>
      </w:r>
      <w:r>
        <w:t>pre</w:t>
      </w:r>
      <w:r>
        <w:rPr>
          <w:spacing w:val="-9"/>
        </w:rPr>
        <w:t xml:space="preserve"> </w:t>
      </w:r>
      <w:r>
        <w:t>malignas,</w:t>
      </w:r>
      <w:r>
        <w:rPr>
          <w:spacing w:val="-6"/>
        </w:rPr>
        <w:t xml:space="preserve"> </w:t>
      </w:r>
      <w:r>
        <w:t>carcinoma</w:t>
      </w:r>
      <w:r>
        <w:rPr>
          <w:spacing w:val="-9"/>
        </w:rPr>
        <w:t xml:space="preserve"> </w:t>
      </w:r>
      <w:r>
        <w:t>in</w:t>
      </w:r>
      <w:r>
        <w:rPr>
          <w:spacing w:val="-8"/>
        </w:rPr>
        <w:t xml:space="preserve"> </w:t>
      </w:r>
      <w:r>
        <w:t>situ</w:t>
      </w:r>
      <w:r>
        <w:rPr>
          <w:spacing w:val="-11"/>
        </w:rPr>
        <w:t xml:space="preserve"> </w:t>
      </w:r>
      <w:r>
        <w:t>y</w:t>
      </w:r>
      <w:r>
        <w:rPr>
          <w:spacing w:val="-12"/>
        </w:rPr>
        <w:t xml:space="preserve"> </w:t>
      </w:r>
      <w:r>
        <w:t>cáncer invasivo del cuello</w:t>
      </w:r>
      <w:r>
        <w:rPr>
          <w:spacing w:val="-7"/>
        </w:rPr>
        <w:t xml:space="preserve"> </w:t>
      </w:r>
      <w:r>
        <w:t>uterino</w:t>
      </w:r>
      <w:r>
        <w:rPr>
          <w:position w:val="8"/>
          <w:sz w:val="14"/>
        </w:rPr>
        <w:t>5</w:t>
      </w:r>
      <w:r>
        <w:t>.</w:t>
      </w:r>
    </w:p>
    <w:p w:rsidR="00B42EF6" w:rsidRDefault="00B42EF6">
      <w:pPr>
        <w:pStyle w:val="Textoindependiente"/>
        <w:spacing w:before="10"/>
        <w:rPr>
          <w:sz w:val="21"/>
        </w:rPr>
      </w:pPr>
    </w:p>
    <w:p w:rsidR="00B42EF6" w:rsidRDefault="004565EA">
      <w:pPr>
        <w:pStyle w:val="Textoindependiente"/>
        <w:ind w:left="204" w:right="113"/>
        <w:jc w:val="both"/>
      </w:pPr>
      <w:r>
        <w:t>A</w:t>
      </w:r>
      <w:r>
        <w:rPr>
          <w:spacing w:val="-12"/>
        </w:rPr>
        <w:t xml:space="preserve"> </w:t>
      </w:r>
      <w:r>
        <w:t>nivel</w:t>
      </w:r>
      <w:r>
        <w:rPr>
          <w:spacing w:val="-14"/>
        </w:rPr>
        <w:t xml:space="preserve"> </w:t>
      </w:r>
      <w:r>
        <w:t>mundial,</w:t>
      </w:r>
      <w:r>
        <w:rPr>
          <w:spacing w:val="-11"/>
        </w:rPr>
        <w:t xml:space="preserve"> </w:t>
      </w:r>
      <w:r>
        <w:t>el</w:t>
      </w:r>
      <w:r>
        <w:rPr>
          <w:spacing w:val="-13"/>
        </w:rPr>
        <w:t xml:space="preserve"> </w:t>
      </w:r>
      <w:r>
        <w:t>VPH</w:t>
      </w:r>
      <w:r>
        <w:rPr>
          <w:spacing w:val="-10"/>
        </w:rPr>
        <w:t xml:space="preserve"> </w:t>
      </w:r>
      <w:r>
        <w:t>16</w:t>
      </w:r>
      <w:r>
        <w:rPr>
          <w:spacing w:val="-10"/>
        </w:rPr>
        <w:t xml:space="preserve"> </w:t>
      </w:r>
      <w:r>
        <w:t>y</w:t>
      </w:r>
      <w:r>
        <w:rPr>
          <w:spacing w:val="-15"/>
        </w:rPr>
        <w:t xml:space="preserve"> </w:t>
      </w:r>
      <w:r>
        <w:t>18</w:t>
      </w:r>
      <w:r>
        <w:rPr>
          <w:spacing w:val="-13"/>
        </w:rPr>
        <w:t xml:space="preserve"> </w:t>
      </w:r>
      <w:r>
        <w:t>contribuyen</w:t>
      </w:r>
      <w:r>
        <w:rPr>
          <w:spacing w:val="-11"/>
        </w:rPr>
        <w:t xml:space="preserve"> </w:t>
      </w:r>
      <w:r>
        <w:t>a</w:t>
      </w:r>
      <w:r>
        <w:rPr>
          <w:spacing w:val="-13"/>
        </w:rPr>
        <w:t xml:space="preserve"> </w:t>
      </w:r>
      <w:r>
        <w:t>m</w:t>
      </w:r>
      <w:r>
        <w:t>ás</w:t>
      </w:r>
      <w:r>
        <w:rPr>
          <w:spacing w:val="-15"/>
        </w:rPr>
        <w:t xml:space="preserve"> </w:t>
      </w:r>
      <w:r>
        <w:t>del</w:t>
      </w:r>
      <w:r>
        <w:rPr>
          <w:spacing w:val="-11"/>
        </w:rPr>
        <w:t xml:space="preserve"> </w:t>
      </w:r>
      <w:r>
        <w:t>70%</w:t>
      </w:r>
      <w:r>
        <w:rPr>
          <w:spacing w:val="-12"/>
        </w:rPr>
        <w:t xml:space="preserve"> </w:t>
      </w:r>
      <w:r>
        <w:t>de</w:t>
      </w:r>
      <w:r>
        <w:rPr>
          <w:spacing w:val="-15"/>
        </w:rPr>
        <w:t xml:space="preserve"> </w:t>
      </w:r>
      <w:r>
        <w:t>todos</w:t>
      </w:r>
      <w:r>
        <w:rPr>
          <w:spacing w:val="-12"/>
        </w:rPr>
        <w:t xml:space="preserve"> </w:t>
      </w:r>
      <w:r>
        <w:t>los</w:t>
      </w:r>
      <w:r>
        <w:rPr>
          <w:spacing w:val="-12"/>
        </w:rPr>
        <w:t xml:space="preserve"> </w:t>
      </w:r>
      <w:r>
        <w:t>casos</w:t>
      </w:r>
      <w:r>
        <w:rPr>
          <w:spacing w:val="-10"/>
        </w:rPr>
        <w:t xml:space="preserve"> </w:t>
      </w:r>
      <w:r>
        <w:t>de</w:t>
      </w:r>
      <w:r>
        <w:rPr>
          <w:spacing w:val="-13"/>
        </w:rPr>
        <w:t xml:space="preserve"> </w:t>
      </w:r>
      <w:r>
        <w:t>cáncer de cuello uterino, y entre el 41% y el 67% de las lesiones cervicales de alto grado y de 16 a 32% de las lesiones cervicales de bajo grado. Después de HPV16 / 18, los seis tipos de VPH más comunes son los mismos en t</w:t>
      </w:r>
      <w:r>
        <w:t>odas las regiones del mundo, a saber, 31, 33, 35, 45, 52 y 58; estos representan un 20% adicional de los cánceres cervicales en todo el mundo</w:t>
      </w:r>
      <w:r>
        <w:rPr>
          <w:position w:val="8"/>
          <w:sz w:val="14"/>
        </w:rPr>
        <w:t>1</w:t>
      </w:r>
      <w:r>
        <w:t>. Por lo citado la infección del virus del papiloma humano (VPH) está reconocida como prácticamente la causa del c</w:t>
      </w:r>
      <w:r>
        <w:t>áncer</w:t>
      </w:r>
      <w:r>
        <w:rPr>
          <w:spacing w:val="-19"/>
        </w:rPr>
        <w:t xml:space="preserve"> </w:t>
      </w:r>
      <w:r>
        <w:t>cervical.</w:t>
      </w:r>
    </w:p>
    <w:p w:rsidR="00B42EF6" w:rsidRDefault="00B42EF6">
      <w:pPr>
        <w:pStyle w:val="Textoindependiente"/>
        <w:spacing w:before="4"/>
      </w:pPr>
    </w:p>
    <w:p w:rsidR="00B42EF6" w:rsidRDefault="004565EA">
      <w:pPr>
        <w:pStyle w:val="Textoindependiente"/>
        <w:spacing w:line="237" w:lineRule="auto"/>
        <w:ind w:left="204" w:right="109"/>
        <w:jc w:val="both"/>
      </w:pPr>
      <w:r>
        <w:t>En las Américas, la prevalencia de VPH 16/18 en mujeres con citología normal es de 4.5% (IC 4.4-4.6), en aquellas con lesiones de bajo grado 26.3% (IC 25.6-27.0), 56.9% (IC 56.0-57.8) en lesiones de alto grado, y 69.0% (IC 68.0-70.0) en cáncer cervicouteri</w:t>
      </w:r>
      <w:r>
        <w:t>no</w:t>
      </w:r>
      <w:r>
        <w:rPr>
          <w:position w:val="8"/>
          <w:sz w:val="14"/>
        </w:rPr>
        <w:t>6</w:t>
      </w:r>
      <w:r>
        <w:t>.</w:t>
      </w:r>
      <w:r>
        <w:rPr>
          <w:spacing w:val="-12"/>
        </w:rPr>
        <w:t xml:space="preserve"> </w:t>
      </w:r>
      <w:r>
        <w:t>En</w:t>
      </w:r>
      <w:r>
        <w:rPr>
          <w:spacing w:val="-14"/>
        </w:rPr>
        <w:t xml:space="preserve"> </w:t>
      </w:r>
      <w:r>
        <w:t>el</w:t>
      </w:r>
      <w:r>
        <w:rPr>
          <w:spacing w:val="-16"/>
        </w:rPr>
        <w:t xml:space="preserve"> </w:t>
      </w:r>
      <w:r>
        <w:t>Perú,</w:t>
      </w:r>
      <w:r>
        <w:rPr>
          <w:spacing w:val="-11"/>
        </w:rPr>
        <w:t xml:space="preserve"> </w:t>
      </w:r>
      <w:r>
        <w:t>la</w:t>
      </w:r>
      <w:r>
        <w:rPr>
          <w:spacing w:val="-16"/>
        </w:rPr>
        <w:t xml:space="preserve"> </w:t>
      </w:r>
      <w:r>
        <w:t>prevalencia</w:t>
      </w:r>
      <w:r>
        <w:rPr>
          <w:spacing w:val="-13"/>
        </w:rPr>
        <w:t xml:space="preserve"> </w:t>
      </w:r>
      <w:r>
        <w:t>de</w:t>
      </w:r>
      <w:r>
        <w:rPr>
          <w:spacing w:val="-15"/>
        </w:rPr>
        <w:t xml:space="preserve"> </w:t>
      </w:r>
      <w:r>
        <w:t>VPH</w:t>
      </w:r>
      <w:r>
        <w:rPr>
          <w:spacing w:val="-18"/>
        </w:rPr>
        <w:t xml:space="preserve"> </w:t>
      </w:r>
      <w:r>
        <w:t>16/18</w:t>
      </w:r>
      <w:r>
        <w:rPr>
          <w:spacing w:val="-15"/>
        </w:rPr>
        <w:t xml:space="preserve"> </w:t>
      </w:r>
      <w:r>
        <w:t>en</w:t>
      </w:r>
      <w:r>
        <w:rPr>
          <w:spacing w:val="-18"/>
        </w:rPr>
        <w:t xml:space="preserve"> </w:t>
      </w:r>
      <w:r>
        <w:t>mujeres</w:t>
      </w:r>
      <w:r>
        <w:rPr>
          <w:spacing w:val="-16"/>
        </w:rPr>
        <w:t xml:space="preserve"> </w:t>
      </w:r>
      <w:r>
        <w:t>con</w:t>
      </w:r>
      <w:r>
        <w:rPr>
          <w:spacing w:val="-18"/>
        </w:rPr>
        <w:t xml:space="preserve"> </w:t>
      </w:r>
      <w:r>
        <w:t>citología</w:t>
      </w:r>
      <w:r>
        <w:rPr>
          <w:spacing w:val="-13"/>
        </w:rPr>
        <w:t xml:space="preserve"> </w:t>
      </w:r>
      <w:r>
        <w:t>normal es de 6.6% (IC 5.1-8.4), en aquellas con lesiones de bajo grado 27.3% (IC 13.2-48.2), 53.1% (IC 36.4-69.1) en lesiones de alto grado, y 65.9% en cáncer</w:t>
      </w:r>
      <w:r>
        <w:rPr>
          <w:spacing w:val="-37"/>
        </w:rPr>
        <w:t xml:space="preserve"> </w:t>
      </w:r>
      <w:r>
        <w:t>cervicouterino</w:t>
      </w:r>
      <w:r>
        <w:rPr>
          <w:position w:val="8"/>
          <w:sz w:val="14"/>
        </w:rPr>
        <w:t>6</w:t>
      </w:r>
      <w:r>
        <w:t>.</w:t>
      </w:r>
    </w:p>
    <w:p w:rsidR="00B42EF6" w:rsidRDefault="00B42EF6">
      <w:pPr>
        <w:pStyle w:val="Textoindependiente"/>
        <w:spacing w:before="3"/>
        <w:rPr>
          <w:sz w:val="21"/>
        </w:rPr>
      </w:pPr>
    </w:p>
    <w:p w:rsidR="00B42EF6" w:rsidRDefault="004565EA">
      <w:pPr>
        <w:pStyle w:val="Textoindependiente"/>
        <w:ind w:left="204" w:right="111"/>
        <w:jc w:val="both"/>
      </w:pPr>
      <w:r>
        <w:t xml:space="preserve">Sykes P. </w:t>
      </w:r>
      <w:r>
        <w:t>et al.</w:t>
      </w:r>
      <w:r>
        <w:rPr>
          <w:position w:val="8"/>
          <w:sz w:val="14"/>
        </w:rPr>
        <w:t>7</w:t>
      </w:r>
      <w:r>
        <w:t>, en mujeres mayores de 18 años con diagnóstico de cáncer cervical estadio</w:t>
      </w:r>
      <w:r>
        <w:rPr>
          <w:spacing w:val="-6"/>
        </w:rPr>
        <w:t xml:space="preserve"> </w:t>
      </w:r>
      <w:r>
        <w:t>I</w:t>
      </w:r>
      <w:r>
        <w:rPr>
          <w:spacing w:val="-4"/>
        </w:rPr>
        <w:t xml:space="preserve"> </w:t>
      </w:r>
      <w:r>
        <w:t>en</w:t>
      </w:r>
      <w:r>
        <w:rPr>
          <w:spacing w:val="-5"/>
        </w:rPr>
        <w:t xml:space="preserve"> </w:t>
      </w:r>
      <w:r>
        <w:t>Nueva</w:t>
      </w:r>
      <w:r>
        <w:rPr>
          <w:spacing w:val="-5"/>
        </w:rPr>
        <w:t xml:space="preserve"> </w:t>
      </w:r>
      <w:r>
        <w:t>Zelanda,</w:t>
      </w:r>
      <w:r>
        <w:rPr>
          <w:spacing w:val="-2"/>
        </w:rPr>
        <w:t xml:space="preserve"> </w:t>
      </w:r>
      <w:r>
        <w:t>encontraron</w:t>
      </w:r>
      <w:r>
        <w:rPr>
          <w:spacing w:val="-5"/>
        </w:rPr>
        <w:t xml:space="preserve"> </w:t>
      </w:r>
      <w:r>
        <w:t>presencia</w:t>
      </w:r>
      <w:r>
        <w:rPr>
          <w:spacing w:val="-5"/>
        </w:rPr>
        <w:t xml:space="preserve"> </w:t>
      </w:r>
      <w:r>
        <w:t>de</w:t>
      </w:r>
      <w:r>
        <w:rPr>
          <w:spacing w:val="-6"/>
        </w:rPr>
        <w:t xml:space="preserve"> </w:t>
      </w:r>
      <w:r>
        <w:t>infección</w:t>
      </w:r>
      <w:r>
        <w:rPr>
          <w:spacing w:val="-5"/>
        </w:rPr>
        <w:t xml:space="preserve"> </w:t>
      </w:r>
      <w:r>
        <w:t>por</w:t>
      </w:r>
      <w:r>
        <w:rPr>
          <w:spacing w:val="-4"/>
        </w:rPr>
        <w:t xml:space="preserve"> </w:t>
      </w:r>
      <w:r>
        <w:t>VPH</w:t>
      </w:r>
      <w:r>
        <w:rPr>
          <w:spacing w:val="-6"/>
        </w:rPr>
        <w:t xml:space="preserve"> </w:t>
      </w:r>
      <w:r>
        <w:t>en</w:t>
      </w:r>
      <w:r>
        <w:rPr>
          <w:spacing w:val="-5"/>
        </w:rPr>
        <w:t xml:space="preserve"> </w:t>
      </w:r>
      <w:r>
        <w:t>88.5%</w:t>
      </w:r>
      <w:r>
        <w:rPr>
          <w:spacing w:val="-7"/>
        </w:rPr>
        <w:t xml:space="preserve"> </w:t>
      </w:r>
      <w:r>
        <w:t>(n</w:t>
      </w:r>
      <w:r>
        <w:rPr>
          <w:spacing w:val="-10"/>
        </w:rPr>
        <w:t xml:space="preserve"> </w:t>
      </w:r>
      <w:r>
        <w:t>= 201; 95% IC: 83,7-92,4), y en 87.2% de los casos se identificaron tipos de VPH de alto riesgo. Lo</w:t>
      </w:r>
      <w:r>
        <w:t>s tipos de VPH más comúnmente detectados fueron HPV-16 (51,1%) y HPV- 18 (20,7%), seguido por el VPH-31 (4,0%), HPV-45 y HPV-52 (3,1% cada uno). En general, la distribución de VPH fue más alta (94,3%) en mujeres de 30 a 39 años al momento del diagnóstico y</w:t>
      </w:r>
      <w:r>
        <w:t xml:space="preserve"> se observó una mayor distribución de VPH-16 (68,8%) en las mujeres menores de 30</w:t>
      </w:r>
      <w:r>
        <w:rPr>
          <w:spacing w:val="-9"/>
        </w:rPr>
        <w:t xml:space="preserve"> </w:t>
      </w:r>
      <w:r>
        <w:t>años.</w:t>
      </w:r>
    </w:p>
    <w:p w:rsidR="00B42EF6" w:rsidRDefault="00B42EF6">
      <w:pPr>
        <w:pStyle w:val="Textoindependiente"/>
        <w:spacing w:before="8"/>
        <w:rPr>
          <w:sz w:val="21"/>
        </w:rPr>
      </w:pPr>
    </w:p>
    <w:p w:rsidR="00B42EF6" w:rsidRDefault="004565EA">
      <w:pPr>
        <w:pStyle w:val="Textoindependiente"/>
        <w:ind w:left="204" w:right="113"/>
        <w:jc w:val="both"/>
      </w:pPr>
      <w:r>
        <w:t>Smith L. et al.</w:t>
      </w:r>
      <w:r>
        <w:rPr>
          <w:position w:val="8"/>
          <w:sz w:val="14"/>
        </w:rPr>
        <w:t>8</w:t>
      </w:r>
      <w:r>
        <w:t>, en mujeres de 25 a 65 años investigaron la intención de auto toma de VPH. El nivel educativo, la intención de realizarse VPH en lugar del Papanicolao</w:t>
      </w:r>
      <w:r>
        <w:t>u estuvieron asociados a la intención de la auto toma. Concluyendo que la actitud hacia</w:t>
      </w:r>
    </w:p>
    <w:p w:rsidR="00B42EF6" w:rsidRDefault="00B42EF6">
      <w:pPr>
        <w:jc w:val="both"/>
        <w:sectPr w:rsidR="00B42EF6">
          <w:headerReference w:type="default" r:id="rId9"/>
          <w:footerReference w:type="default" r:id="rId10"/>
          <w:pgSz w:w="11920" w:h="16850"/>
          <w:pgMar w:top="1300" w:right="1580" w:bottom="1160" w:left="1500" w:header="725" w:footer="974" w:gutter="0"/>
          <w:cols w:space="720"/>
        </w:sectPr>
      </w:pPr>
    </w:p>
    <w:p w:rsidR="00B42EF6" w:rsidRDefault="004565EA">
      <w:pPr>
        <w:pStyle w:val="Textoindependiente"/>
        <w:spacing w:before="89"/>
        <w:ind w:left="204" w:right="117"/>
        <w:jc w:val="both"/>
      </w:pPr>
      <w:r>
        <w:lastRenderedPageBreak/>
        <w:t>el procedimiento de la auto toma fue la única variable que predice la intención de la mujer para realizar una auto toma de VPH (OR 1,25; IC del 95%: 1,22, 1,29).</w:t>
      </w:r>
    </w:p>
    <w:p w:rsidR="00B42EF6" w:rsidRDefault="00B42EF6">
      <w:pPr>
        <w:pStyle w:val="Textoindependiente"/>
        <w:spacing w:before="8"/>
        <w:rPr>
          <w:sz w:val="21"/>
        </w:rPr>
      </w:pPr>
    </w:p>
    <w:p w:rsidR="00B42EF6" w:rsidRDefault="004565EA">
      <w:pPr>
        <w:pStyle w:val="Textoindependiente"/>
        <w:ind w:left="204" w:right="108"/>
        <w:jc w:val="both"/>
      </w:pPr>
      <w:r>
        <w:t>Sinayobye J. et al.</w:t>
      </w:r>
      <w:r>
        <w:rPr>
          <w:position w:val="8"/>
          <w:sz w:val="14"/>
        </w:rPr>
        <w:t>9</w:t>
      </w:r>
      <w:r>
        <w:t>, encontraron una mayor prevalencia de VPH de alto riesgo en aquellas VIH</w:t>
      </w:r>
      <w:r>
        <w:t>[+] (31,8%, 95% IC = 29,2-34,4%) que en las mujeres VIH[-] (8,2%; IC del 95% = 6.7 a 9.8%, p &lt;0,0001). Concluyendo que el recuento de CD4 menor de 200 células, la historia de 3 o más parejas sexuales, y el antecedente de uso de anticoncepción hormonal se a</w:t>
      </w:r>
      <w:r>
        <w:t>soció significativamente a la presencia de VPH de alto riesgo en aquellas mujeres con VIH, mientras que en las mujeres sin VIH sólo con los grupos de edad avanzada (45-49 y 50-60 años)</w:t>
      </w:r>
    </w:p>
    <w:p w:rsidR="00B42EF6" w:rsidRDefault="004565EA">
      <w:pPr>
        <w:pStyle w:val="Textoindependiente"/>
        <w:spacing w:before="1"/>
        <w:ind w:left="204" w:right="109"/>
        <w:jc w:val="both"/>
      </w:pPr>
      <w:r>
        <w:t>Rodríguez G. et al.</w:t>
      </w:r>
      <w:r>
        <w:rPr>
          <w:position w:val="8"/>
          <w:sz w:val="14"/>
        </w:rPr>
        <w:t>10</w:t>
      </w:r>
      <w:r>
        <w:t>, en mujeres, cubanas, con diagnóstico de VPH y mu</w:t>
      </w:r>
      <w:r>
        <w:t>jeres sin VPH investigaron</w:t>
      </w:r>
      <w:r>
        <w:rPr>
          <w:spacing w:val="-4"/>
        </w:rPr>
        <w:t xml:space="preserve"> </w:t>
      </w:r>
      <w:r>
        <w:t>las</w:t>
      </w:r>
      <w:r>
        <w:rPr>
          <w:spacing w:val="-5"/>
        </w:rPr>
        <w:t xml:space="preserve"> </w:t>
      </w:r>
      <w:r>
        <w:t>variables</w:t>
      </w:r>
      <w:r>
        <w:rPr>
          <w:spacing w:val="-2"/>
        </w:rPr>
        <w:t xml:space="preserve"> </w:t>
      </w:r>
      <w:r>
        <w:t>asociadas</w:t>
      </w:r>
      <w:r>
        <w:rPr>
          <w:spacing w:val="-5"/>
        </w:rPr>
        <w:t xml:space="preserve"> </w:t>
      </w:r>
      <w:r>
        <w:t>a</w:t>
      </w:r>
      <w:r>
        <w:rPr>
          <w:spacing w:val="-5"/>
        </w:rPr>
        <w:t xml:space="preserve"> </w:t>
      </w:r>
      <w:r>
        <w:t>la</w:t>
      </w:r>
      <w:r>
        <w:rPr>
          <w:spacing w:val="-3"/>
        </w:rPr>
        <w:t xml:space="preserve"> </w:t>
      </w:r>
      <w:r>
        <w:t>infección</w:t>
      </w:r>
      <w:r>
        <w:rPr>
          <w:spacing w:val="-2"/>
        </w:rPr>
        <w:t xml:space="preserve"> </w:t>
      </w:r>
      <w:r>
        <w:t>por</w:t>
      </w:r>
      <w:r>
        <w:rPr>
          <w:spacing w:val="-4"/>
        </w:rPr>
        <w:t xml:space="preserve"> </w:t>
      </w:r>
      <w:r>
        <w:t>VPH.</w:t>
      </w:r>
      <w:r>
        <w:rPr>
          <w:spacing w:val="-3"/>
        </w:rPr>
        <w:t xml:space="preserve"> </w:t>
      </w:r>
      <w:r>
        <w:t>Encontrando</w:t>
      </w:r>
      <w:r>
        <w:rPr>
          <w:spacing w:val="-7"/>
        </w:rPr>
        <w:t xml:space="preserve"> </w:t>
      </w:r>
      <w:r>
        <w:t>que</w:t>
      </w:r>
      <w:r>
        <w:rPr>
          <w:spacing w:val="-5"/>
        </w:rPr>
        <w:t xml:space="preserve"> </w:t>
      </w:r>
      <w:r>
        <w:t>68.4%</w:t>
      </w:r>
      <w:r>
        <w:rPr>
          <w:spacing w:val="-5"/>
        </w:rPr>
        <w:t xml:space="preserve"> </w:t>
      </w:r>
      <w:r>
        <w:rPr>
          <w:spacing w:val="-3"/>
        </w:rPr>
        <w:t xml:space="preserve">de </w:t>
      </w:r>
      <w:r>
        <w:t>mujeres con VPH tenían entre 40 y 49 años, 85% de ambos grupos tuvieron inicio de relaciones</w:t>
      </w:r>
      <w:r>
        <w:rPr>
          <w:spacing w:val="-5"/>
        </w:rPr>
        <w:t xml:space="preserve"> </w:t>
      </w:r>
      <w:r>
        <w:t>sexuales</w:t>
      </w:r>
      <w:r>
        <w:rPr>
          <w:spacing w:val="-5"/>
        </w:rPr>
        <w:t xml:space="preserve"> </w:t>
      </w:r>
      <w:r>
        <w:t>entre</w:t>
      </w:r>
      <w:r>
        <w:rPr>
          <w:spacing w:val="-5"/>
        </w:rPr>
        <w:t xml:space="preserve"> </w:t>
      </w:r>
      <w:r>
        <w:t>15</w:t>
      </w:r>
      <w:r>
        <w:rPr>
          <w:spacing w:val="-7"/>
        </w:rPr>
        <w:t xml:space="preserve"> </w:t>
      </w:r>
      <w:r>
        <w:t>y</w:t>
      </w:r>
      <w:r>
        <w:rPr>
          <w:spacing w:val="-7"/>
        </w:rPr>
        <w:t xml:space="preserve"> </w:t>
      </w:r>
      <w:r>
        <w:t>17</w:t>
      </w:r>
      <w:r>
        <w:rPr>
          <w:spacing w:val="-8"/>
        </w:rPr>
        <w:t xml:space="preserve"> </w:t>
      </w:r>
      <w:r>
        <w:t>años,</w:t>
      </w:r>
      <w:r>
        <w:rPr>
          <w:spacing w:val="-7"/>
        </w:rPr>
        <w:t xml:space="preserve"> </w:t>
      </w:r>
      <w:r>
        <w:t>mientras</w:t>
      </w:r>
      <w:r>
        <w:rPr>
          <w:spacing w:val="-11"/>
        </w:rPr>
        <w:t xml:space="preserve"> </w:t>
      </w:r>
      <w:r>
        <w:t>que</w:t>
      </w:r>
      <w:r>
        <w:rPr>
          <w:spacing w:val="-8"/>
        </w:rPr>
        <w:t xml:space="preserve"> </w:t>
      </w:r>
      <w:r>
        <w:t>la</w:t>
      </w:r>
      <w:r>
        <w:rPr>
          <w:spacing w:val="-8"/>
        </w:rPr>
        <w:t xml:space="preserve"> </w:t>
      </w:r>
      <w:r>
        <w:t>multiparidad</w:t>
      </w:r>
      <w:r>
        <w:rPr>
          <w:spacing w:val="-6"/>
        </w:rPr>
        <w:t xml:space="preserve"> </w:t>
      </w:r>
      <w:r>
        <w:t>y</w:t>
      </w:r>
      <w:r>
        <w:rPr>
          <w:spacing w:val="-7"/>
        </w:rPr>
        <w:t xml:space="preserve"> </w:t>
      </w:r>
      <w:r>
        <w:t>el</w:t>
      </w:r>
      <w:r>
        <w:rPr>
          <w:spacing w:val="-11"/>
        </w:rPr>
        <w:t xml:space="preserve"> </w:t>
      </w:r>
      <w:r>
        <w:t>mayor</w:t>
      </w:r>
      <w:r>
        <w:rPr>
          <w:spacing w:val="-3"/>
        </w:rPr>
        <w:t xml:space="preserve"> </w:t>
      </w:r>
      <w:r>
        <w:t>número de parejas sexuales se encontraron en aquellas mujeres con infección de VPH en comparación</w:t>
      </w:r>
      <w:r>
        <w:rPr>
          <w:spacing w:val="-19"/>
        </w:rPr>
        <w:t xml:space="preserve"> </w:t>
      </w:r>
      <w:r>
        <w:t>con</w:t>
      </w:r>
      <w:r>
        <w:rPr>
          <w:spacing w:val="-18"/>
        </w:rPr>
        <w:t xml:space="preserve"> </w:t>
      </w:r>
      <w:r>
        <w:t>las</w:t>
      </w:r>
      <w:r>
        <w:rPr>
          <w:spacing w:val="-17"/>
        </w:rPr>
        <w:t xml:space="preserve"> </w:t>
      </w:r>
      <w:r>
        <w:t>mujeres</w:t>
      </w:r>
      <w:r>
        <w:rPr>
          <w:spacing w:val="-14"/>
        </w:rPr>
        <w:t xml:space="preserve"> </w:t>
      </w:r>
      <w:r>
        <w:t>sanas.</w:t>
      </w:r>
      <w:r>
        <w:rPr>
          <w:spacing w:val="-14"/>
        </w:rPr>
        <w:t xml:space="preserve"> </w:t>
      </w:r>
      <w:r>
        <w:t>Concluyendo</w:t>
      </w:r>
      <w:r>
        <w:rPr>
          <w:spacing w:val="-17"/>
        </w:rPr>
        <w:t xml:space="preserve"> </w:t>
      </w:r>
      <w:r>
        <w:t>que</w:t>
      </w:r>
      <w:r>
        <w:rPr>
          <w:spacing w:val="-17"/>
        </w:rPr>
        <w:t xml:space="preserve"> </w:t>
      </w:r>
      <w:r>
        <w:t>la</w:t>
      </w:r>
      <w:r>
        <w:rPr>
          <w:spacing w:val="-14"/>
        </w:rPr>
        <w:t xml:space="preserve"> </w:t>
      </w:r>
      <w:r>
        <w:t>edad,</w:t>
      </w:r>
      <w:r>
        <w:rPr>
          <w:spacing w:val="-14"/>
        </w:rPr>
        <w:t xml:space="preserve"> </w:t>
      </w:r>
      <w:r>
        <w:t>la</w:t>
      </w:r>
      <w:r>
        <w:rPr>
          <w:spacing w:val="-17"/>
        </w:rPr>
        <w:t xml:space="preserve"> </w:t>
      </w:r>
      <w:r>
        <w:t>paridad,</w:t>
      </w:r>
      <w:r>
        <w:rPr>
          <w:spacing w:val="-13"/>
        </w:rPr>
        <w:t xml:space="preserve"> </w:t>
      </w:r>
      <w:r>
        <w:t>las</w:t>
      </w:r>
      <w:r>
        <w:rPr>
          <w:spacing w:val="-15"/>
        </w:rPr>
        <w:t xml:space="preserve"> </w:t>
      </w:r>
      <w:r>
        <w:t>relaciones de pareja y la existencia infección de transmisión sexual concomitante estuvi</w:t>
      </w:r>
      <w:r>
        <w:t>eron asociadas a la infección por el virus del papiloma</w:t>
      </w:r>
      <w:r>
        <w:rPr>
          <w:spacing w:val="-17"/>
        </w:rPr>
        <w:t xml:space="preserve"> </w:t>
      </w:r>
      <w:r>
        <w:t>humano.</w:t>
      </w:r>
    </w:p>
    <w:p w:rsidR="00B42EF6" w:rsidRDefault="00B42EF6">
      <w:pPr>
        <w:pStyle w:val="Textoindependiente"/>
        <w:spacing w:before="5"/>
        <w:rPr>
          <w:sz w:val="21"/>
        </w:rPr>
      </w:pPr>
    </w:p>
    <w:p w:rsidR="00B42EF6" w:rsidRDefault="004565EA">
      <w:pPr>
        <w:pStyle w:val="Textoindependiente"/>
        <w:ind w:left="204" w:right="110"/>
        <w:jc w:val="both"/>
      </w:pPr>
      <w:r>
        <w:t>Melo</w:t>
      </w:r>
      <w:r>
        <w:rPr>
          <w:spacing w:val="-6"/>
        </w:rPr>
        <w:t xml:space="preserve"> </w:t>
      </w:r>
      <w:r>
        <w:t>A.</w:t>
      </w:r>
      <w:r>
        <w:rPr>
          <w:spacing w:val="-3"/>
        </w:rPr>
        <w:t xml:space="preserve"> </w:t>
      </w:r>
      <w:r>
        <w:t>et</w:t>
      </w:r>
      <w:r>
        <w:rPr>
          <w:spacing w:val="-3"/>
        </w:rPr>
        <w:t xml:space="preserve"> </w:t>
      </w:r>
      <w:r>
        <w:t>al.</w:t>
      </w:r>
      <w:r>
        <w:rPr>
          <w:position w:val="8"/>
          <w:sz w:val="14"/>
        </w:rPr>
        <w:t>11</w:t>
      </w:r>
      <w:r>
        <w:t>,</w:t>
      </w:r>
      <w:r>
        <w:rPr>
          <w:spacing w:val="-5"/>
        </w:rPr>
        <w:t xml:space="preserve"> </w:t>
      </w:r>
      <w:r>
        <w:t>en</w:t>
      </w:r>
      <w:r>
        <w:rPr>
          <w:spacing w:val="-5"/>
        </w:rPr>
        <w:t xml:space="preserve"> </w:t>
      </w:r>
      <w:r>
        <w:t>mujeres,</w:t>
      </w:r>
      <w:r>
        <w:rPr>
          <w:spacing w:val="-2"/>
        </w:rPr>
        <w:t xml:space="preserve"> </w:t>
      </w:r>
      <w:r>
        <w:t>chilenas,</w:t>
      </w:r>
      <w:r>
        <w:rPr>
          <w:spacing w:val="-3"/>
        </w:rPr>
        <w:t xml:space="preserve"> </w:t>
      </w:r>
      <w:r>
        <w:t>de</w:t>
      </w:r>
      <w:r>
        <w:rPr>
          <w:spacing w:val="-6"/>
        </w:rPr>
        <w:t xml:space="preserve"> </w:t>
      </w:r>
      <w:r>
        <w:t>25</w:t>
      </w:r>
      <w:r>
        <w:rPr>
          <w:spacing w:val="-6"/>
        </w:rPr>
        <w:t xml:space="preserve"> </w:t>
      </w:r>
      <w:r>
        <w:t>años</w:t>
      </w:r>
      <w:r>
        <w:rPr>
          <w:spacing w:val="-10"/>
        </w:rPr>
        <w:t xml:space="preserve"> </w:t>
      </w:r>
      <w:r>
        <w:t>con</w:t>
      </w:r>
      <w:r>
        <w:rPr>
          <w:spacing w:val="-7"/>
        </w:rPr>
        <w:t xml:space="preserve"> </w:t>
      </w:r>
      <w:r>
        <w:t>resultado</w:t>
      </w:r>
      <w:r>
        <w:rPr>
          <w:spacing w:val="-6"/>
        </w:rPr>
        <w:t xml:space="preserve"> </w:t>
      </w:r>
      <w:r>
        <w:t>PAP</w:t>
      </w:r>
      <w:r>
        <w:rPr>
          <w:spacing w:val="-5"/>
        </w:rPr>
        <w:t xml:space="preserve"> </w:t>
      </w:r>
      <w:r>
        <w:t>alterado</w:t>
      </w:r>
      <w:r>
        <w:rPr>
          <w:spacing w:val="-7"/>
        </w:rPr>
        <w:t xml:space="preserve"> </w:t>
      </w:r>
      <w:r>
        <w:t>realizaron el estudio de presencial y genotipificación de VPH, encontrando una frecuencia global de VPH en 84.8%,</w:t>
      </w:r>
      <w:r>
        <w:t xml:space="preserve"> siendo el genotipo más frecuente el VPH 16. Luego del seguimiento posterior observaron que 12.3% la lesión persistió o evolución a una mayor, así mismo observaron</w:t>
      </w:r>
      <w:r>
        <w:rPr>
          <w:spacing w:val="-11"/>
        </w:rPr>
        <w:t xml:space="preserve"> </w:t>
      </w:r>
      <w:r>
        <w:t>que</w:t>
      </w:r>
      <w:r>
        <w:rPr>
          <w:spacing w:val="-13"/>
        </w:rPr>
        <w:t xml:space="preserve"> </w:t>
      </w:r>
      <w:r>
        <w:t>28.9%</w:t>
      </w:r>
      <w:r>
        <w:rPr>
          <w:spacing w:val="-7"/>
        </w:rPr>
        <w:t xml:space="preserve"> </w:t>
      </w:r>
      <w:r>
        <w:t>de</w:t>
      </w:r>
      <w:r>
        <w:rPr>
          <w:spacing w:val="-10"/>
        </w:rPr>
        <w:t xml:space="preserve"> </w:t>
      </w:r>
      <w:r>
        <w:t>mujeres</w:t>
      </w:r>
      <w:r>
        <w:rPr>
          <w:spacing w:val="-10"/>
        </w:rPr>
        <w:t xml:space="preserve"> </w:t>
      </w:r>
      <w:r>
        <w:t>presentaban</w:t>
      </w:r>
      <w:r>
        <w:rPr>
          <w:spacing w:val="-11"/>
        </w:rPr>
        <w:t xml:space="preserve"> </w:t>
      </w:r>
      <w:r>
        <w:t>un</w:t>
      </w:r>
      <w:r>
        <w:rPr>
          <w:spacing w:val="-10"/>
        </w:rPr>
        <w:t xml:space="preserve"> </w:t>
      </w:r>
      <w:r>
        <w:t>seguimiento</w:t>
      </w:r>
      <w:r>
        <w:rPr>
          <w:spacing w:val="-10"/>
        </w:rPr>
        <w:t xml:space="preserve"> </w:t>
      </w:r>
      <w:r>
        <w:t>post</w:t>
      </w:r>
      <w:r>
        <w:rPr>
          <w:spacing w:val="-7"/>
        </w:rPr>
        <w:t xml:space="preserve"> </w:t>
      </w:r>
      <w:r>
        <w:t>lesión</w:t>
      </w:r>
      <w:r>
        <w:rPr>
          <w:spacing w:val="-10"/>
        </w:rPr>
        <w:t xml:space="preserve"> </w:t>
      </w:r>
      <w:r>
        <w:t>irregular</w:t>
      </w:r>
      <w:r>
        <w:rPr>
          <w:spacing w:val="-8"/>
        </w:rPr>
        <w:t xml:space="preserve"> </w:t>
      </w:r>
      <w:r>
        <w:t>(sin Pap en los últimos tres años o ùltimo Pap anormal), en este grupo 88% era VPH</w:t>
      </w:r>
      <w:r>
        <w:rPr>
          <w:spacing w:val="-36"/>
        </w:rPr>
        <w:t xml:space="preserve"> </w:t>
      </w:r>
      <w:r>
        <w:t>[+].</w:t>
      </w:r>
    </w:p>
    <w:p w:rsidR="00B42EF6" w:rsidRDefault="00B42EF6">
      <w:pPr>
        <w:pStyle w:val="Textoindependiente"/>
        <w:spacing w:before="7"/>
        <w:rPr>
          <w:sz w:val="21"/>
        </w:rPr>
      </w:pPr>
    </w:p>
    <w:p w:rsidR="00B42EF6" w:rsidRDefault="004565EA">
      <w:pPr>
        <w:pStyle w:val="Textoindependiente"/>
        <w:ind w:left="204" w:right="108"/>
        <w:jc w:val="both"/>
      </w:pPr>
      <w:r>
        <w:t>Wheeler C. et al.</w:t>
      </w:r>
      <w:r>
        <w:rPr>
          <w:position w:val="8"/>
          <w:sz w:val="14"/>
        </w:rPr>
        <w:t>12</w:t>
      </w:r>
      <w:r>
        <w:t>, en Nuevo México, a través de un estudio poblacional, en 47,617 mujeres</w:t>
      </w:r>
      <w:r>
        <w:rPr>
          <w:spacing w:val="-17"/>
        </w:rPr>
        <w:t xml:space="preserve"> </w:t>
      </w:r>
      <w:r>
        <w:t>que</w:t>
      </w:r>
      <w:r>
        <w:rPr>
          <w:spacing w:val="-17"/>
        </w:rPr>
        <w:t xml:space="preserve"> </w:t>
      </w:r>
      <w:r>
        <w:t>participaron</w:t>
      </w:r>
      <w:r>
        <w:rPr>
          <w:spacing w:val="-17"/>
        </w:rPr>
        <w:t xml:space="preserve"> </w:t>
      </w:r>
      <w:r>
        <w:t>de</w:t>
      </w:r>
      <w:r>
        <w:rPr>
          <w:spacing w:val="-15"/>
        </w:rPr>
        <w:t xml:space="preserve"> </w:t>
      </w:r>
      <w:r>
        <w:t>un</w:t>
      </w:r>
      <w:r>
        <w:rPr>
          <w:spacing w:val="-14"/>
        </w:rPr>
        <w:t xml:space="preserve"> </w:t>
      </w:r>
      <w:r>
        <w:t>tamizaje</w:t>
      </w:r>
      <w:r>
        <w:rPr>
          <w:spacing w:val="-15"/>
        </w:rPr>
        <w:t xml:space="preserve"> </w:t>
      </w:r>
      <w:r>
        <w:t>de</w:t>
      </w:r>
      <w:r>
        <w:rPr>
          <w:spacing w:val="-15"/>
        </w:rPr>
        <w:t xml:space="preserve"> </w:t>
      </w:r>
      <w:r>
        <w:t>cáncer</w:t>
      </w:r>
      <w:r>
        <w:rPr>
          <w:spacing w:val="-16"/>
        </w:rPr>
        <w:t xml:space="preserve"> </w:t>
      </w:r>
      <w:r>
        <w:t>cervical,</w:t>
      </w:r>
      <w:r>
        <w:rPr>
          <w:spacing w:val="-11"/>
        </w:rPr>
        <w:t xml:space="preserve"> </w:t>
      </w:r>
      <w:r>
        <w:t>encontraron</w:t>
      </w:r>
      <w:r>
        <w:rPr>
          <w:spacing w:val="-14"/>
        </w:rPr>
        <w:t xml:space="preserve"> </w:t>
      </w:r>
      <w:r>
        <w:t>una</w:t>
      </w:r>
      <w:r>
        <w:rPr>
          <w:spacing w:val="-16"/>
        </w:rPr>
        <w:t xml:space="preserve"> </w:t>
      </w:r>
      <w:r>
        <w:t>prevale</w:t>
      </w:r>
      <w:r>
        <w:t>ncia para cualquiera de los 37 tipos de VPH de 27.3%, con una máxima de 52% a la edad de 20 años, disminuyendo en edades mayores. La prevalencia de VPH 16 fue</w:t>
      </w:r>
      <w:r>
        <w:rPr>
          <w:spacing w:val="-45"/>
        </w:rPr>
        <w:t xml:space="preserve"> </w:t>
      </w:r>
      <w:r>
        <w:t>de 9.6%, 6.5%</w:t>
      </w:r>
      <w:r>
        <w:rPr>
          <w:spacing w:val="-9"/>
        </w:rPr>
        <w:t xml:space="preserve"> </w:t>
      </w:r>
      <w:r>
        <w:t>y</w:t>
      </w:r>
      <w:r>
        <w:rPr>
          <w:spacing w:val="-11"/>
        </w:rPr>
        <w:t xml:space="preserve"> </w:t>
      </w:r>
      <w:r>
        <w:t>1.8%</w:t>
      </w:r>
      <w:r>
        <w:rPr>
          <w:spacing w:val="-9"/>
        </w:rPr>
        <w:t xml:space="preserve"> </w:t>
      </w:r>
      <w:r>
        <w:t>para</w:t>
      </w:r>
      <w:r>
        <w:rPr>
          <w:spacing w:val="-9"/>
        </w:rPr>
        <w:t xml:space="preserve"> </w:t>
      </w:r>
      <w:r>
        <w:t>las</w:t>
      </w:r>
      <w:r>
        <w:rPr>
          <w:spacing w:val="-12"/>
        </w:rPr>
        <w:t xml:space="preserve"> </w:t>
      </w:r>
      <w:r>
        <w:t>mujeres</w:t>
      </w:r>
      <w:r>
        <w:rPr>
          <w:spacing w:val="-11"/>
        </w:rPr>
        <w:t xml:space="preserve"> </w:t>
      </w:r>
      <w:r>
        <w:t>menores</w:t>
      </w:r>
      <w:r>
        <w:rPr>
          <w:spacing w:val="-12"/>
        </w:rPr>
        <w:t xml:space="preserve"> </w:t>
      </w:r>
      <w:r>
        <w:t>de</w:t>
      </w:r>
      <w:r>
        <w:rPr>
          <w:spacing w:val="-9"/>
        </w:rPr>
        <w:t xml:space="preserve"> </w:t>
      </w:r>
      <w:r>
        <w:t>20</w:t>
      </w:r>
      <w:r>
        <w:rPr>
          <w:spacing w:val="-10"/>
        </w:rPr>
        <w:t xml:space="preserve"> </w:t>
      </w:r>
      <w:r>
        <w:t>años,</w:t>
      </w:r>
      <w:r>
        <w:rPr>
          <w:spacing w:val="-5"/>
        </w:rPr>
        <w:t xml:space="preserve"> </w:t>
      </w:r>
      <w:r>
        <w:t>21</w:t>
      </w:r>
      <w:r>
        <w:rPr>
          <w:spacing w:val="-13"/>
        </w:rPr>
        <w:t xml:space="preserve"> </w:t>
      </w:r>
      <w:r>
        <w:t>a</w:t>
      </w:r>
      <w:r>
        <w:rPr>
          <w:spacing w:val="-9"/>
        </w:rPr>
        <w:t xml:space="preserve"> </w:t>
      </w:r>
      <w:r>
        <w:t>29</w:t>
      </w:r>
      <w:r>
        <w:rPr>
          <w:spacing w:val="-10"/>
        </w:rPr>
        <w:t xml:space="preserve"> </w:t>
      </w:r>
      <w:r>
        <w:t>años,</w:t>
      </w:r>
      <w:r>
        <w:rPr>
          <w:spacing w:val="-8"/>
        </w:rPr>
        <w:t xml:space="preserve"> </w:t>
      </w:r>
      <w:r>
        <w:t>y</w:t>
      </w:r>
      <w:r>
        <w:rPr>
          <w:spacing w:val="-12"/>
        </w:rPr>
        <w:t xml:space="preserve"> </w:t>
      </w:r>
      <w:r>
        <w:t>mayores</w:t>
      </w:r>
      <w:r>
        <w:rPr>
          <w:spacing w:val="-6"/>
        </w:rPr>
        <w:t xml:space="preserve"> </w:t>
      </w:r>
      <w:r>
        <w:t>de</w:t>
      </w:r>
      <w:r>
        <w:rPr>
          <w:spacing w:val="-10"/>
        </w:rPr>
        <w:t xml:space="preserve"> </w:t>
      </w:r>
      <w:r>
        <w:t>30</w:t>
      </w:r>
      <w:r>
        <w:rPr>
          <w:spacing w:val="-9"/>
        </w:rPr>
        <w:t xml:space="preserve"> </w:t>
      </w:r>
      <w:r>
        <w:t>años resp</w:t>
      </w:r>
      <w:r>
        <w:t>ectivamente. Las prevalencias combinadas de VPH 16 y 18 en estos grupos de edad</w:t>
      </w:r>
      <w:r>
        <w:rPr>
          <w:spacing w:val="-5"/>
        </w:rPr>
        <w:t xml:space="preserve"> </w:t>
      </w:r>
      <w:r>
        <w:t>fueron</w:t>
      </w:r>
      <w:r>
        <w:rPr>
          <w:spacing w:val="-5"/>
        </w:rPr>
        <w:t xml:space="preserve"> </w:t>
      </w:r>
      <w:r>
        <w:t>12,0,</w:t>
      </w:r>
      <w:r>
        <w:rPr>
          <w:spacing w:val="-3"/>
        </w:rPr>
        <w:t xml:space="preserve"> </w:t>
      </w:r>
      <w:r>
        <w:t>8,3</w:t>
      </w:r>
      <w:r>
        <w:rPr>
          <w:spacing w:val="-5"/>
        </w:rPr>
        <w:t xml:space="preserve"> </w:t>
      </w:r>
      <w:r>
        <w:t>y</w:t>
      </w:r>
      <w:r>
        <w:rPr>
          <w:spacing w:val="-6"/>
        </w:rPr>
        <w:t xml:space="preserve"> </w:t>
      </w:r>
      <w:r>
        <w:t>2,4%,</w:t>
      </w:r>
      <w:r>
        <w:rPr>
          <w:spacing w:val="-2"/>
        </w:rPr>
        <w:t xml:space="preserve"> </w:t>
      </w:r>
      <w:r>
        <w:t>respectivamente. El</w:t>
      </w:r>
      <w:r>
        <w:rPr>
          <w:spacing w:val="-8"/>
        </w:rPr>
        <w:t xml:space="preserve"> </w:t>
      </w:r>
      <w:r>
        <w:t>VPH</w:t>
      </w:r>
      <w:r>
        <w:rPr>
          <w:spacing w:val="-5"/>
        </w:rPr>
        <w:t xml:space="preserve"> </w:t>
      </w:r>
      <w:r>
        <w:t>16</w:t>
      </w:r>
      <w:r>
        <w:rPr>
          <w:spacing w:val="-3"/>
        </w:rPr>
        <w:t xml:space="preserve"> </w:t>
      </w:r>
      <w:r>
        <w:t>y</w:t>
      </w:r>
      <w:r>
        <w:rPr>
          <w:spacing w:val="-6"/>
        </w:rPr>
        <w:t xml:space="preserve"> </w:t>
      </w:r>
      <w:r>
        <w:t>18</w:t>
      </w:r>
      <w:r>
        <w:rPr>
          <w:spacing w:val="-5"/>
        </w:rPr>
        <w:t xml:space="preserve"> </w:t>
      </w:r>
      <w:r>
        <w:t>se</w:t>
      </w:r>
      <w:r>
        <w:rPr>
          <w:spacing w:val="-2"/>
        </w:rPr>
        <w:t xml:space="preserve"> </w:t>
      </w:r>
      <w:r>
        <w:t>detectaron</w:t>
      </w:r>
      <w:r>
        <w:rPr>
          <w:spacing w:val="-5"/>
        </w:rPr>
        <w:t xml:space="preserve"> </w:t>
      </w:r>
      <w:r>
        <w:t>en</w:t>
      </w:r>
      <w:r>
        <w:rPr>
          <w:spacing w:val="-4"/>
        </w:rPr>
        <w:t xml:space="preserve"> </w:t>
      </w:r>
      <w:r>
        <w:t>54,5% de mujeres con diagnóstico de lesión intraepitelial escamosa de alto grado (HSIL) y en 25% en aquellas con lesión intraepitelial escamosa de bajo grado</w:t>
      </w:r>
      <w:r>
        <w:rPr>
          <w:spacing w:val="-29"/>
        </w:rPr>
        <w:t xml:space="preserve"> </w:t>
      </w:r>
      <w:r>
        <w:t>(LSIL).</w:t>
      </w:r>
    </w:p>
    <w:p w:rsidR="00B42EF6" w:rsidRDefault="00B42EF6">
      <w:pPr>
        <w:pStyle w:val="Textoindependiente"/>
        <w:spacing w:before="9"/>
        <w:rPr>
          <w:sz w:val="21"/>
        </w:rPr>
      </w:pPr>
    </w:p>
    <w:p w:rsidR="00B42EF6" w:rsidRDefault="004565EA">
      <w:pPr>
        <w:pStyle w:val="Textoindependiente"/>
        <w:ind w:left="204" w:right="113"/>
        <w:jc w:val="both"/>
      </w:pPr>
      <w:r>
        <w:t>Basu P. et al.</w:t>
      </w:r>
      <w:r>
        <w:rPr>
          <w:position w:val="8"/>
          <w:sz w:val="14"/>
        </w:rPr>
        <w:t>13</w:t>
      </w:r>
      <w:r>
        <w:t>, mediante un meta-análisis, en mujeres de la India investigaron la preva</w:t>
      </w:r>
      <w:r>
        <w:t>lencia de VPH poblacional, encontrando una prevalencia estandarizada por edad de</w:t>
      </w:r>
      <w:r>
        <w:rPr>
          <w:spacing w:val="-10"/>
        </w:rPr>
        <w:t xml:space="preserve"> </w:t>
      </w:r>
      <w:r>
        <w:t>VPH</w:t>
      </w:r>
      <w:r>
        <w:rPr>
          <w:spacing w:val="-13"/>
        </w:rPr>
        <w:t xml:space="preserve"> </w:t>
      </w:r>
      <w:r>
        <w:t>de</w:t>
      </w:r>
      <w:r>
        <w:rPr>
          <w:spacing w:val="-10"/>
        </w:rPr>
        <w:t xml:space="preserve"> </w:t>
      </w:r>
      <w:r>
        <w:t>6.0%.</w:t>
      </w:r>
      <w:r>
        <w:rPr>
          <w:spacing w:val="-10"/>
        </w:rPr>
        <w:t xml:space="preserve"> </w:t>
      </w:r>
      <w:r>
        <w:t>Así</w:t>
      </w:r>
      <w:r>
        <w:rPr>
          <w:spacing w:val="-15"/>
        </w:rPr>
        <w:t xml:space="preserve"> </w:t>
      </w:r>
      <w:r>
        <w:t>como</w:t>
      </w:r>
      <w:r>
        <w:rPr>
          <w:spacing w:val="-12"/>
        </w:rPr>
        <w:t xml:space="preserve"> </w:t>
      </w:r>
      <w:r>
        <w:t>una</w:t>
      </w:r>
      <w:r>
        <w:rPr>
          <w:spacing w:val="-13"/>
        </w:rPr>
        <w:t xml:space="preserve"> </w:t>
      </w:r>
      <w:r>
        <w:t>prevalencia</w:t>
      </w:r>
      <w:r>
        <w:rPr>
          <w:spacing w:val="-9"/>
        </w:rPr>
        <w:t xml:space="preserve"> </w:t>
      </w:r>
      <w:r>
        <w:t>ajustada</w:t>
      </w:r>
      <w:r>
        <w:rPr>
          <w:spacing w:val="-10"/>
        </w:rPr>
        <w:t xml:space="preserve"> </w:t>
      </w:r>
      <w:r>
        <w:t>por</w:t>
      </w:r>
      <w:r>
        <w:rPr>
          <w:spacing w:val="-9"/>
        </w:rPr>
        <w:t xml:space="preserve"> </w:t>
      </w:r>
      <w:r>
        <w:t>edad</w:t>
      </w:r>
      <w:r>
        <w:rPr>
          <w:spacing w:val="-13"/>
        </w:rPr>
        <w:t xml:space="preserve"> </w:t>
      </w:r>
      <w:r>
        <w:t>de</w:t>
      </w:r>
      <w:r>
        <w:rPr>
          <w:spacing w:val="-12"/>
        </w:rPr>
        <w:t xml:space="preserve"> </w:t>
      </w:r>
      <w:r>
        <w:t>NIC</w:t>
      </w:r>
      <w:r>
        <w:rPr>
          <w:spacing w:val="-12"/>
        </w:rPr>
        <w:t xml:space="preserve"> </w:t>
      </w:r>
      <w:r>
        <w:t>1</w:t>
      </w:r>
      <w:r>
        <w:rPr>
          <w:spacing w:val="-10"/>
        </w:rPr>
        <w:t xml:space="preserve"> </w:t>
      </w:r>
      <w:r>
        <w:t>y</w:t>
      </w:r>
      <w:r>
        <w:rPr>
          <w:spacing w:val="-16"/>
        </w:rPr>
        <w:t xml:space="preserve"> </w:t>
      </w:r>
      <w:r>
        <w:t>NIC</w:t>
      </w:r>
      <w:r>
        <w:rPr>
          <w:spacing w:val="-13"/>
        </w:rPr>
        <w:t xml:space="preserve"> </w:t>
      </w:r>
      <w:r>
        <w:t>2</w:t>
      </w:r>
      <w:r>
        <w:rPr>
          <w:spacing w:val="-10"/>
        </w:rPr>
        <w:t xml:space="preserve"> </w:t>
      </w:r>
      <w:r>
        <w:t>de</w:t>
      </w:r>
      <w:r>
        <w:rPr>
          <w:spacing w:val="-13"/>
        </w:rPr>
        <w:t xml:space="preserve"> </w:t>
      </w:r>
      <w:r>
        <w:t>2.3% y 0.5% respectivamente. La prevalencia de NIC 3 fue 0.4% y de cáncer invasivo 0.2%. La prevale</w:t>
      </w:r>
      <w:r>
        <w:t>ncia de VPH de alto riesgo era relativamente baja en la población estudiada. La prevalencia de NIC3 se mantuvo constante en todos los grupos de</w:t>
      </w:r>
      <w:r>
        <w:rPr>
          <w:spacing w:val="-30"/>
        </w:rPr>
        <w:t xml:space="preserve"> </w:t>
      </w:r>
      <w:r>
        <w:t>edad.</w:t>
      </w:r>
    </w:p>
    <w:p w:rsidR="00B42EF6" w:rsidRDefault="00B42EF6">
      <w:pPr>
        <w:pStyle w:val="Textoindependiente"/>
        <w:spacing w:before="7"/>
        <w:rPr>
          <w:sz w:val="21"/>
        </w:rPr>
      </w:pPr>
    </w:p>
    <w:p w:rsidR="00B42EF6" w:rsidRDefault="004565EA">
      <w:pPr>
        <w:pStyle w:val="Textoindependiente"/>
        <w:spacing w:before="1"/>
        <w:ind w:left="204" w:right="109"/>
        <w:jc w:val="both"/>
      </w:pPr>
      <w:r>
        <w:t>Fang-Hui</w:t>
      </w:r>
      <w:r>
        <w:rPr>
          <w:spacing w:val="-12"/>
        </w:rPr>
        <w:t xml:space="preserve"> </w:t>
      </w:r>
      <w:r>
        <w:t>Z.</w:t>
      </w:r>
      <w:r>
        <w:rPr>
          <w:spacing w:val="-12"/>
        </w:rPr>
        <w:t xml:space="preserve"> </w:t>
      </w:r>
      <w:r>
        <w:t>et</w:t>
      </w:r>
      <w:r>
        <w:rPr>
          <w:spacing w:val="-12"/>
        </w:rPr>
        <w:t xml:space="preserve"> </w:t>
      </w:r>
      <w:r>
        <w:t>al.</w:t>
      </w:r>
      <w:r>
        <w:rPr>
          <w:spacing w:val="-10"/>
        </w:rPr>
        <w:t xml:space="preserve"> </w:t>
      </w:r>
      <w:r>
        <w:rPr>
          <w:position w:val="8"/>
          <w:sz w:val="14"/>
        </w:rPr>
        <w:t>14</w:t>
      </w:r>
      <w:r>
        <w:t>,</w:t>
      </w:r>
      <w:r>
        <w:rPr>
          <w:spacing w:val="-12"/>
        </w:rPr>
        <w:t xml:space="preserve"> </w:t>
      </w:r>
      <w:r>
        <w:t>mediante</w:t>
      </w:r>
      <w:r>
        <w:rPr>
          <w:spacing w:val="-11"/>
        </w:rPr>
        <w:t xml:space="preserve"> </w:t>
      </w:r>
      <w:r>
        <w:t>un</w:t>
      </w:r>
      <w:r>
        <w:rPr>
          <w:spacing w:val="-14"/>
        </w:rPr>
        <w:t xml:space="preserve"> </w:t>
      </w:r>
      <w:r>
        <w:t>meta-análisis,</w:t>
      </w:r>
      <w:r>
        <w:rPr>
          <w:spacing w:val="-9"/>
        </w:rPr>
        <w:t xml:space="preserve"> </w:t>
      </w:r>
      <w:r>
        <w:t>con</w:t>
      </w:r>
      <w:r>
        <w:rPr>
          <w:spacing w:val="-12"/>
        </w:rPr>
        <w:t xml:space="preserve"> </w:t>
      </w:r>
      <w:r>
        <w:t>el</w:t>
      </w:r>
      <w:r>
        <w:rPr>
          <w:spacing w:val="-12"/>
        </w:rPr>
        <w:t xml:space="preserve"> </w:t>
      </w:r>
      <w:r>
        <w:t>objetivo</w:t>
      </w:r>
      <w:r>
        <w:rPr>
          <w:spacing w:val="-11"/>
        </w:rPr>
        <w:t xml:space="preserve"> </w:t>
      </w:r>
      <w:r>
        <w:t>de</w:t>
      </w:r>
      <w:r>
        <w:rPr>
          <w:spacing w:val="-11"/>
        </w:rPr>
        <w:t xml:space="preserve"> </w:t>
      </w:r>
      <w:r>
        <w:t>estimar</w:t>
      </w:r>
      <w:r>
        <w:rPr>
          <w:spacing w:val="-9"/>
        </w:rPr>
        <w:t xml:space="preserve"> </w:t>
      </w:r>
      <w:r>
        <w:t>la</w:t>
      </w:r>
      <w:r>
        <w:rPr>
          <w:spacing w:val="-11"/>
        </w:rPr>
        <w:t xml:space="preserve"> </w:t>
      </w:r>
      <w:r>
        <w:t>prevalencia de</w:t>
      </w:r>
      <w:r>
        <w:rPr>
          <w:spacing w:val="-4"/>
        </w:rPr>
        <w:t xml:space="preserve"> </w:t>
      </w:r>
      <w:r>
        <w:t>VPH</w:t>
      </w:r>
      <w:r>
        <w:rPr>
          <w:spacing w:val="-4"/>
        </w:rPr>
        <w:t xml:space="preserve"> </w:t>
      </w:r>
      <w:r>
        <w:t>de</w:t>
      </w:r>
      <w:r>
        <w:rPr>
          <w:spacing w:val="-3"/>
        </w:rPr>
        <w:t xml:space="preserve"> </w:t>
      </w:r>
      <w:r>
        <w:t>alto</w:t>
      </w:r>
      <w:r>
        <w:rPr>
          <w:spacing w:val="-5"/>
        </w:rPr>
        <w:t xml:space="preserve"> </w:t>
      </w:r>
      <w:r>
        <w:t>riesgo</w:t>
      </w:r>
      <w:r>
        <w:rPr>
          <w:spacing w:val="-2"/>
        </w:rPr>
        <w:t xml:space="preserve"> </w:t>
      </w:r>
      <w:r>
        <w:t>y</w:t>
      </w:r>
      <w:r>
        <w:rPr>
          <w:spacing w:val="-7"/>
        </w:rPr>
        <w:t xml:space="preserve"> </w:t>
      </w:r>
      <w:r>
        <w:t>de</w:t>
      </w:r>
      <w:r>
        <w:rPr>
          <w:spacing w:val="-3"/>
        </w:rPr>
        <w:t xml:space="preserve"> </w:t>
      </w:r>
      <w:r>
        <w:t>neoplasia</w:t>
      </w:r>
      <w:r>
        <w:rPr>
          <w:spacing w:val="-3"/>
        </w:rPr>
        <w:t xml:space="preserve"> </w:t>
      </w:r>
      <w:r>
        <w:t>cervical</w:t>
      </w:r>
      <w:r>
        <w:rPr>
          <w:spacing w:val="-3"/>
        </w:rPr>
        <w:t xml:space="preserve"> </w:t>
      </w:r>
      <w:r>
        <w:t>intraepitelial</w:t>
      </w:r>
      <w:r>
        <w:rPr>
          <w:spacing w:val="-4"/>
        </w:rPr>
        <w:t xml:space="preserve"> </w:t>
      </w:r>
      <w:r>
        <w:t>en</w:t>
      </w:r>
      <w:r>
        <w:rPr>
          <w:spacing w:val="-3"/>
        </w:rPr>
        <w:t xml:space="preserve"> </w:t>
      </w:r>
      <w:r>
        <w:t>China.</w:t>
      </w:r>
      <w:r>
        <w:rPr>
          <w:spacing w:val="1"/>
        </w:rPr>
        <w:t xml:space="preserve"> </w:t>
      </w:r>
      <w:r>
        <w:t>Observaron</w:t>
      </w:r>
      <w:r>
        <w:rPr>
          <w:spacing w:val="-5"/>
        </w:rPr>
        <w:t xml:space="preserve"> </w:t>
      </w:r>
      <w:r>
        <w:t>que</w:t>
      </w:r>
      <w:r>
        <w:rPr>
          <w:spacing w:val="-4"/>
        </w:rPr>
        <w:t xml:space="preserve"> </w:t>
      </w:r>
      <w:r>
        <w:t xml:space="preserve">la prevalencia global de VPH de alto riesgo era de 17.7%, esta prevalencia fue similar en mujeres de zonas rurales y urbanas, pero diferentes según grupos de edad; de 25 a 29 años </w:t>
      </w:r>
      <w:r>
        <w:t>(11,3%) en las zonas rurales y en 35 a 39 años (11,3%) en las mujeres urbanas. En las mujeres rurales y urbanas, la prevalencia estandarizada por edad del NIC2 fue de 1,5% [95% (IC): 1.4 a 1.6%] y de 0,7% (IC del 95%: 0,7-0,8%)</w:t>
      </w:r>
      <w:r>
        <w:rPr>
          <w:spacing w:val="57"/>
        </w:rPr>
        <w:t xml:space="preserve"> </w:t>
      </w:r>
      <w:r>
        <w:t>respectivamente.</w:t>
      </w:r>
    </w:p>
    <w:p w:rsidR="00B42EF6" w:rsidRDefault="004565EA">
      <w:pPr>
        <w:pStyle w:val="Textoindependiente"/>
        <w:ind w:left="204" w:right="113"/>
        <w:jc w:val="both"/>
      </w:pPr>
      <w:r>
        <w:t>Mientras</w:t>
      </w:r>
      <w:r>
        <w:rPr>
          <w:spacing w:val="-8"/>
        </w:rPr>
        <w:t xml:space="preserve"> </w:t>
      </w:r>
      <w:r>
        <w:t>qu</w:t>
      </w:r>
      <w:r>
        <w:t>e</w:t>
      </w:r>
      <w:r>
        <w:rPr>
          <w:spacing w:val="-8"/>
        </w:rPr>
        <w:t xml:space="preserve"> </w:t>
      </w:r>
      <w:r>
        <w:t>la</w:t>
      </w:r>
      <w:r>
        <w:rPr>
          <w:spacing w:val="-8"/>
        </w:rPr>
        <w:t xml:space="preserve"> </w:t>
      </w:r>
      <w:r>
        <w:t>prevalencia</w:t>
      </w:r>
      <w:r>
        <w:rPr>
          <w:spacing w:val="-4"/>
        </w:rPr>
        <w:t xml:space="preserve"> </w:t>
      </w:r>
      <w:r>
        <w:t>de</w:t>
      </w:r>
      <w:r>
        <w:rPr>
          <w:spacing w:val="-5"/>
        </w:rPr>
        <w:t xml:space="preserve"> </w:t>
      </w:r>
      <w:r>
        <w:t>NIC3</w:t>
      </w:r>
      <w:r>
        <w:rPr>
          <w:spacing w:val="-10"/>
        </w:rPr>
        <w:t xml:space="preserve"> </w:t>
      </w:r>
      <w:r>
        <w:t>fue</w:t>
      </w:r>
      <w:r>
        <w:rPr>
          <w:spacing w:val="-9"/>
        </w:rPr>
        <w:t xml:space="preserve"> </w:t>
      </w:r>
      <w:r>
        <w:t>1,2%</w:t>
      </w:r>
      <w:r>
        <w:rPr>
          <w:spacing w:val="-9"/>
        </w:rPr>
        <w:t xml:space="preserve"> </w:t>
      </w:r>
      <w:r>
        <w:t>(95%</w:t>
      </w:r>
      <w:r>
        <w:rPr>
          <w:spacing w:val="-4"/>
        </w:rPr>
        <w:t xml:space="preserve"> </w:t>
      </w:r>
      <w:r>
        <w:t>CI:</w:t>
      </w:r>
      <w:r>
        <w:rPr>
          <w:spacing w:val="-4"/>
        </w:rPr>
        <w:t xml:space="preserve"> </w:t>
      </w:r>
      <w:r>
        <w:t>1.2</w:t>
      </w:r>
      <w:r>
        <w:rPr>
          <w:spacing w:val="-5"/>
        </w:rPr>
        <w:t xml:space="preserve"> </w:t>
      </w:r>
      <w:r>
        <w:t>a</w:t>
      </w:r>
      <w:r>
        <w:rPr>
          <w:spacing w:val="-9"/>
        </w:rPr>
        <w:t xml:space="preserve"> </w:t>
      </w:r>
      <w:r>
        <w:t>1.3%)</w:t>
      </w:r>
      <w:r>
        <w:rPr>
          <w:spacing w:val="-3"/>
        </w:rPr>
        <w:t xml:space="preserve"> </w:t>
      </w:r>
      <w:r>
        <w:t>y</w:t>
      </w:r>
      <w:r>
        <w:rPr>
          <w:spacing w:val="-7"/>
        </w:rPr>
        <w:t xml:space="preserve"> </w:t>
      </w:r>
      <w:r>
        <w:t>0,6%</w:t>
      </w:r>
      <w:r>
        <w:rPr>
          <w:spacing w:val="-7"/>
        </w:rPr>
        <w:t xml:space="preserve"> </w:t>
      </w:r>
      <w:r>
        <w:t>(IC</w:t>
      </w:r>
      <w:r>
        <w:rPr>
          <w:spacing w:val="-6"/>
        </w:rPr>
        <w:t xml:space="preserve"> </w:t>
      </w:r>
      <w:r>
        <w:t>del</w:t>
      </w:r>
      <w:r>
        <w:rPr>
          <w:spacing w:val="-8"/>
        </w:rPr>
        <w:t xml:space="preserve"> </w:t>
      </w:r>
      <w:r>
        <w:t>95%: 0,5-0,7%), respectivamente. Concluyendo que la prevalencia de NIC3 se incrementó progresivamente con la edad, alcanzando una máxima entre 45 a 49 años, tanto en zonas rurales como</w:t>
      </w:r>
      <w:r>
        <w:rPr>
          <w:spacing w:val="-4"/>
        </w:rPr>
        <w:t xml:space="preserve"> </w:t>
      </w:r>
      <w:r>
        <w:t>urbanas.</w:t>
      </w:r>
    </w:p>
    <w:p w:rsidR="00B42EF6" w:rsidRDefault="00B42EF6">
      <w:pPr>
        <w:jc w:val="both"/>
        <w:sectPr w:rsidR="00B42EF6">
          <w:headerReference w:type="default" r:id="rId11"/>
          <w:footerReference w:type="default" r:id="rId12"/>
          <w:pgSz w:w="11920" w:h="16850"/>
          <w:pgMar w:top="1300" w:right="1580" w:bottom="920" w:left="1500" w:header="725" w:footer="721" w:gutter="0"/>
          <w:cols w:space="720"/>
        </w:sectPr>
      </w:pPr>
    </w:p>
    <w:p w:rsidR="00B42EF6" w:rsidRDefault="004565EA">
      <w:pPr>
        <w:pStyle w:val="Textoindependiente"/>
        <w:spacing w:before="84"/>
        <w:ind w:left="204" w:right="110"/>
        <w:jc w:val="both"/>
      </w:pPr>
      <w:r>
        <w:lastRenderedPageBreak/>
        <w:t>Cage J. et al.</w:t>
      </w:r>
      <w:r>
        <w:rPr>
          <w:position w:val="8"/>
          <w:sz w:val="14"/>
        </w:rPr>
        <w:t>15</w:t>
      </w:r>
      <w:r>
        <w:t>, mediante un estudio de base poblacional, 1282 mujeres, en zonas rurales de Nigeria con el objetivo de conocer la prevalencia de VPH. 14.7% de las mujeres presentaron VPH cancerígenos, proporción que no disminuyo con la edad y que mostro picos leves entre</w:t>
      </w:r>
      <w:r>
        <w:t>o 15 a 29 y 60 a 69 años (p=0.36). En las mujeres de 30 a 49 años la prevalencia de VPH fue de 12.8%. Las mujeres menores de 30 años tenían más probabilidad de ser VPH positivo (18,9%, p = 0,03). En mujeres mayores de 50 años la prevalencia fue 14.2%.</w:t>
      </w:r>
    </w:p>
    <w:p w:rsidR="00B42EF6" w:rsidRDefault="00B42EF6">
      <w:pPr>
        <w:pStyle w:val="Textoindependiente"/>
        <w:spacing w:before="8"/>
        <w:rPr>
          <w:sz w:val="21"/>
        </w:rPr>
      </w:pPr>
    </w:p>
    <w:p w:rsidR="00B42EF6" w:rsidRDefault="004565EA">
      <w:pPr>
        <w:pStyle w:val="Textoindependiente"/>
        <w:ind w:left="204" w:right="107"/>
        <w:jc w:val="both"/>
      </w:pPr>
      <w:r>
        <w:t>Iwa</w:t>
      </w:r>
      <w:r>
        <w:t>saki R. et al.</w:t>
      </w:r>
      <w:r>
        <w:rPr>
          <w:position w:val="8"/>
          <w:sz w:val="14"/>
        </w:rPr>
        <w:t>16</w:t>
      </w:r>
      <w:r>
        <w:t>, Con el objetivo de estimar la prevalencia total de VPH de alto riesgo en mujeres de 17 a 79 años de zonas urbanas del Perú, observaron que la prevalencia de VPH de alto riesgo fue de 34.49% (775/2247) tanto en infecciones simples y múltip</w:t>
      </w:r>
      <w:r>
        <w:t>les, la presencia de VPH16 y VPH18 se encontraron en 242 y 45 muestras respectivamente,</w:t>
      </w:r>
      <w:r>
        <w:rPr>
          <w:spacing w:val="-9"/>
        </w:rPr>
        <w:t xml:space="preserve"> </w:t>
      </w:r>
      <w:r>
        <w:t>mientras</w:t>
      </w:r>
      <w:r>
        <w:rPr>
          <w:spacing w:val="-7"/>
        </w:rPr>
        <w:t xml:space="preserve"> </w:t>
      </w:r>
      <w:r>
        <w:t>que</w:t>
      </w:r>
      <w:r>
        <w:rPr>
          <w:spacing w:val="-8"/>
        </w:rPr>
        <w:t xml:space="preserve"> </w:t>
      </w:r>
      <w:r>
        <w:t>otros</w:t>
      </w:r>
      <w:r>
        <w:rPr>
          <w:spacing w:val="-10"/>
        </w:rPr>
        <w:t xml:space="preserve"> </w:t>
      </w:r>
      <w:r>
        <w:t>tipos</w:t>
      </w:r>
      <w:r>
        <w:rPr>
          <w:spacing w:val="-5"/>
        </w:rPr>
        <w:t xml:space="preserve"> </w:t>
      </w:r>
      <w:r>
        <w:t>de</w:t>
      </w:r>
      <w:r>
        <w:rPr>
          <w:spacing w:val="-7"/>
        </w:rPr>
        <w:t xml:space="preserve"> </w:t>
      </w:r>
      <w:r>
        <w:t>VPH</w:t>
      </w:r>
      <w:r>
        <w:rPr>
          <w:spacing w:val="-9"/>
        </w:rPr>
        <w:t xml:space="preserve"> </w:t>
      </w:r>
      <w:r>
        <w:t>de</w:t>
      </w:r>
      <w:r>
        <w:rPr>
          <w:spacing w:val="-5"/>
        </w:rPr>
        <w:t xml:space="preserve"> </w:t>
      </w:r>
      <w:r>
        <w:t>alto</w:t>
      </w:r>
      <w:r>
        <w:rPr>
          <w:spacing w:val="-8"/>
        </w:rPr>
        <w:t xml:space="preserve"> </w:t>
      </w:r>
      <w:r>
        <w:t>riesgo</w:t>
      </w:r>
      <w:r>
        <w:rPr>
          <w:spacing w:val="-10"/>
        </w:rPr>
        <w:t xml:space="preserve"> </w:t>
      </w:r>
      <w:r>
        <w:t>fueron</w:t>
      </w:r>
      <w:r>
        <w:rPr>
          <w:spacing w:val="-5"/>
        </w:rPr>
        <w:t xml:space="preserve"> </w:t>
      </w:r>
      <w:r>
        <w:t>hallados</w:t>
      </w:r>
      <w:r>
        <w:rPr>
          <w:spacing w:val="-5"/>
        </w:rPr>
        <w:t xml:space="preserve"> </w:t>
      </w:r>
      <w:r>
        <w:t>en</w:t>
      </w:r>
      <w:r>
        <w:rPr>
          <w:spacing w:val="-6"/>
        </w:rPr>
        <w:t xml:space="preserve"> </w:t>
      </w:r>
      <w:r>
        <w:t>631 muestras. Concluyendo que la prevalencia de VPH de alto riesgo es frecuente en mujeres</w:t>
      </w:r>
      <w:r>
        <w:rPr>
          <w:spacing w:val="-4"/>
        </w:rPr>
        <w:t xml:space="preserve"> </w:t>
      </w:r>
      <w:r>
        <w:t>jóvenes.</w:t>
      </w:r>
    </w:p>
    <w:p w:rsidR="00B42EF6" w:rsidRDefault="00B42EF6">
      <w:pPr>
        <w:pStyle w:val="Textoindependiente"/>
      </w:pPr>
    </w:p>
    <w:p w:rsidR="00B42EF6" w:rsidRDefault="004565EA">
      <w:pPr>
        <w:pStyle w:val="Textoindependiente"/>
        <w:ind w:left="204" w:right="115"/>
        <w:jc w:val="both"/>
      </w:pPr>
      <w:r>
        <w:t>P</w:t>
      </w:r>
      <w:r>
        <w:t>or lo expuesto es importante investigar ¿Cuál es la frecuencia, lesiones y factores asociados al virus de papiloma humano en mujeres de 30 a 49 años del distrito de Catacaos Piura durante el periodo julio 2014 - mayo 2015?</w:t>
      </w:r>
    </w:p>
    <w:p w:rsidR="00B42EF6" w:rsidRDefault="00B42EF6">
      <w:pPr>
        <w:pStyle w:val="Textoindependiente"/>
        <w:spacing w:before="1"/>
      </w:pPr>
    </w:p>
    <w:p w:rsidR="00B42EF6" w:rsidRDefault="004565EA">
      <w:pPr>
        <w:pStyle w:val="Textoindependiente"/>
        <w:ind w:left="204" w:right="110"/>
        <w:jc w:val="both"/>
      </w:pPr>
      <w:r>
        <w:t>Para</w:t>
      </w:r>
      <w:r>
        <w:rPr>
          <w:spacing w:val="-5"/>
        </w:rPr>
        <w:t xml:space="preserve"> </w:t>
      </w:r>
      <w:r>
        <w:t>responder</w:t>
      </w:r>
      <w:r>
        <w:rPr>
          <w:spacing w:val="-4"/>
        </w:rPr>
        <w:t xml:space="preserve"> </w:t>
      </w:r>
      <w:r>
        <w:t>al</w:t>
      </w:r>
      <w:r>
        <w:rPr>
          <w:spacing w:val="-5"/>
        </w:rPr>
        <w:t xml:space="preserve"> </w:t>
      </w:r>
      <w:r>
        <w:t>problema</w:t>
      </w:r>
      <w:r>
        <w:rPr>
          <w:spacing w:val="-7"/>
        </w:rPr>
        <w:t xml:space="preserve"> </w:t>
      </w:r>
      <w:r>
        <w:t>formulado</w:t>
      </w:r>
      <w:r>
        <w:rPr>
          <w:spacing w:val="-5"/>
        </w:rPr>
        <w:t xml:space="preserve"> </w:t>
      </w:r>
      <w:r>
        <w:t>la</w:t>
      </w:r>
      <w:r>
        <w:rPr>
          <w:spacing w:val="-4"/>
        </w:rPr>
        <w:t xml:space="preserve"> </w:t>
      </w:r>
      <w:r>
        <w:t>investigación</w:t>
      </w:r>
      <w:r>
        <w:rPr>
          <w:spacing w:val="-5"/>
        </w:rPr>
        <w:t xml:space="preserve"> </w:t>
      </w:r>
      <w:r>
        <w:t>se</w:t>
      </w:r>
      <w:r>
        <w:rPr>
          <w:spacing w:val="-4"/>
        </w:rPr>
        <w:t xml:space="preserve"> </w:t>
      </w:r>
      <w:r>
        <w:t>propuso</w:t>
      </w:r>
      <w:r>
        <w:rPr>
          <w:spacing w:val="-6"/>
        </w:rPr>
        <w:t xml:space="preserve"> </w:t>
      </w:r>
      <w:r>
        <w:t>alcanzar</w:t>
      </w:r>
      <w:r>
        <w:rPr>
          <w:spacing w:val="-4"/>
        </w:rPr>
        <w:t xml:space="preserve"> </w:t>
      </w:r>
      <w:r>
        <w:t>el</w:t>
      </w:r>
      <w:r>
        <w:rPr>
          <w:spacing w:val="-5"/>
        </w:rPr>
        <w:t xml:space="preserve"> </w:t>
      </w:r>
      <w:r>
        <w:t>siguiente objetivo:</w:t>
      </w:r>
    </w:p>
    <w:p w:rsidR="00B42EF6" w:rsidRDefault="00B42EF6">
      <w:pPr>
        <w:pStyle w:val="Textoindependiente"/>
        <w:spacing w:before="11"/>
        <w:rPr>
          <w:sz w:val="21"/>
        </w:rPr>
      </w:pPr>
    </w:p>
    <w:p w:rsidR="00B42EF6" w:rsidRDefault="004565EA">
      <w:pPr>
        <w:pStyle w:val="Prrafodelista"/>
        <w:numPr>
          <w:ilvl w:val="0"/>
          <w:numId w:val="2"/>
        </w:numPr>
        <w:tabs>
          <w:tab w:val="left" w:pos="565"/>
        </w:tabs>
        <w:ind w:right="112"/>
      </w:pPr>
      <w:r>
        <w:t>Identificar la frecuencia, lesiones cervicales y factores asociados al virus papiloma humano</w:t>
      </w:r>
      <w:r>
        <w:rPr>
          <w:spacing w:val="-15"/>
        </w:rPr>
        <w:t xml:space="preserve"> </w:t>
      </w:r>
      <w:r>
        <w:t>en</w:t>
      </w:r>
      <w:r>
        <w:rPr>
          <w:spacing w:val="-17"/>
        </w:rPr>
        <w:t xml:space="preserve"> </w:t>
      </w:r>
      <w:r>
        <w:t>mujeres</w:t>
      </w:r>
      <w:r>
        <w:rPr>
          <w:spacing w:val="-15"/>
        </w:rPr>
        <w:t xml:space="preserve"> </w:t>
      </w:r>
      <w:r>
        <w:t>de</w:t>
      </w:r>
      <w:r>
        <w:rPr>
          <w:spacing w:val="-15"/>
        </w:rPr>
        <w:t xml:space="preserve"> </w:t>
      </w:r>
      <w:r>
        <w:t>30</w:t>
      </w:r>
      <w:r>
        <w:rPr>
          <w:spacing w:val="-13"/>
        </w:rPr>
        <w:t xml:space="preserve"> </w:t>
      </w:r>
      <w:r>
        <w:t>a</w:t>
      </w:r>
      <w:r>
        <w:rPr>
          <w:spacing w:val="-14"/>
        </w:rPr>
        <w:t xml:space="preserve"> </w:t>
      </w:r>
      <w:r>
        <w:t>49</w:t>
      </w:r>
      <w:r>
        <w:rPr>
          <w:spacing w:val="-15"/>
        </w:rPr>
        <w:t xml:space="preserve"> </w:t>
      </w:r>
      <w:r>
        <w:t>años</w:t>
      </w:r>
      <w:r>
        <w:rPr>
          <w:spacing w:val="-16"/>
        </w:rPr>
        <w:t xml:space="preserve"> </w:t>
      </w:r>
      <w:r>
        <w:t>del</w:t>
      </w:r>
      <w:r>
        <w:rPr>
          <w:spacing w:val="-15"/>
        </w:rPr>
        <w:t xml:space="preserve"> </w:t>
      </w:r>
      <w:r>
        <w:t>distrito</w:t>
      </w:r>
      <w:r>
        <w:rPr>
          <w:spacing w:val="-14"/>
        </w:rPr>
        <w:t xml:space="preserve"> </w:t>
      </w:r>
      <w:r>
        <w:t>de</w:t>
      </w:r>
      <w:r>
        <w:rPr>
          <w:spacing w:val="-19"/>
        </w:rPr>
        <w:t xml:space="preserve"> </w:t>
      </w:r>
      <w:r>
        <w:t>Catacaos</w:t>
      </w:r>
      <w:r>
        <w:rPr>
          <w:spacing w:val="-13"/>
        </w:rPr>
        <w:t xml:space="preserve"> </w:t>
      </w:r>
      <w:r>
        <w:t>Piura</w:t>
      </w:r>
      <w:r>
        <w:rPr>
          <w:spacing w:val="-15"/>
        </w:rPr>
        <w:t xml:space="preserve"> </w:t>
      </w:r>
      <w:r>
        <w:t>durante</w:t>
      </w:r>
      <w:r>
        <w:rPr>
          <w:spacing w:val="-17"/>
        </w:rPr>
        <w:t xml:space="preserve"> </w:t>
      </w:r>
      <w:r>
        <w:t>el</w:t>
      </w:r>
      <w:r>
        <w:rPr>
          <w:spacing w:val="-16"/>
        </w:rPr>
        <w:t xml:space="preserve"> </w:t>
      </w:r>
      <w:r>
        <w:t>periodo julio 2014 - ma</w:t>
      </w:r>
      <w:r>
        <w:t>yo</w:t>
      </w:r>
      <w:r>
        <w:rPr>
          <w:spacing w:val="-7"/>
        </w:rPr>
        <w:t xml:space="preserve"> </w:t>
      </w:r>
      <w:r>
        <w:t>2015.</w:t>
      </w:r>
    </w:p>
    <w:p w:rsidR="00B42EF6" w:rsidRDefault="00B42EF6">
      <w:pPr>
        <w:pStyle w:val="Textoindependiente"/>
        <w:spacing w:before="4"/>
        <w:rPr>
          <w:sz w:val="19"/>
        </w:rPr>
      </w:pPr>
    </w:p>
    <w:p w:rsidR="00B42EF6" w:rsidRDefault="004565EA">
      <w:pPr>
        <w:pStyle w:val="Ttulo3"/>
      </w:pPr>
      <w:r>
        <w:t>Material y método</w:t>
      </w:r>
    </w:p>
    <w:p w:rsidR="00B42EF6" w:rsidRDefault="00B42EF6">
      <w:pPr>
        <w:pStyle w:val="Textoindependiente"/>
        <w:spacing w:before="11"/>
        <w:rPr>
          <w:b/>
          <w:sz w:val="19"/>
        </w:rPr>
      </w:pPr>
    </w:p>
    <w:p w:rsidR="00B42EF6" w:rsidRDefault="004565EA">
      <w:pPr>
        <w:pStyle w:val="Textoindependiente"/>
        <w:spacing w:line="244" w:lineRule="auto"/>
        <w:ind w:left="204" w:right="117"/>
        <w:jc w:val="both"/>
      </w:pPr>
      <w:r>
        <w:rPr>
          <w:b/>
        </w:rPr>
        <w:t xml:space="preserve">Diseño metodológico: </w:t>
      </w:r>
      <w:r>
        <w:t>es un estudio de diseño observacional; de corte transversal, prospectivo, descriptivo y correlacional.</w:t>
      </w:r>
    </w:p>
    <w:p w:rsidR="00B42EF6" w:rsidRDefault="00B42EF6">
      <w:pPr>
        <w:pStyle w:val="Textoindependiente"/>
        <w:spacing w:before="1"/>
        <w:rPr>
          <w:sz w:val="21"/>
        </w:rPr>
      </w:pPr>
    </w:p>
    <w:p w:rsidR="00B42EF6" w:rsidRDefault="004565EA">
      <w:pPr>
        <w:pStyle w:val="Textoindependiente"/>
        <w:ind w:left="204" w:right="107"/>
        <w:jc w:val="both"/>
      </w:pPr>
      <w:r>
        <w:rPr>
          <w:b/>
        </w:rPr>
        <w:t xml:space="preserve">Población y muestra: </w:t>
      </w:r>
      <w:r>
        <w:t>La población estuvo conformada por todas las mujeres del distrito</w:t>
      </w:r>
      <w:r>
        <w:rPr>
          <w:spacing w:val="-8"/>
        </w:rPr>
        <w:t xml:space="preserve"> </w:t>
      </w:r>
      <w:r>
        <w:t>de</w:t>
      </w:r>
      <w:r>
        <w:rPr>
          <w:spacing w:val="-5"/>
        </w:rPr>
        <w:t xml:space="preserve"> </w:t>
      </w:r>
      <w:r>
        <w:t>Catacaos</w:t>
      </w:r>
      <w:r>
        <w:rPr>
          <w:spacing w:val="-6"/>
        </w:rPr>
        <w:t xml:space="preserve"> </w:t>
      </w:r>
      <w:r>
        <w:t>de</w:t>
      </w:r>
      <w:r>
        <w:rPr>
          <w:spacing w:val="-8"/>
        </w:rPr>
        <w:t xml:space="preserve"> </w:t>
      </w:r>
      <w:r>
        <w:t>Piura,</w:t>
      </w:r>
      <w:r>
        <w:rPr>
          <w:spacing w:val="-5"/>
        </w:rPr>
        <w:t xml:space="preserve"> </w:t>
      </w:r>
      <w:r>
        <w:t>en</w:t>
      </w:r>
      <w:r>
        <w:rPr>
          <w:spacing w:val="-8"/>
        </w:rPr>
        <w:t xml:space="preserve"> </w:t>
      </w:r>
      <w:r>
        <w:t>el</w:t>
      </w:r>
      <w:r>
        <w:rPr>
          <w:spacing w:val="-6"/>
        </w:rPr>
        <w:t xml:space="preserve"> </w:t>
      </w:r>
      <w:r>
        <w:t>periodo</w:t>
      </w:r>
      <w:r>
        <w:rPr>
          <w:spacing w:val="-6"/>
        </w:rPr>
        <w:t xml:space="preserve"> </w:t>
      </w:r>
      <w:r>
        <w:t>de</w:t>
      </w:r>
      <w:r>
        <w:rPr>
          <w:spacing w:val="-8"/>
        </w:rPr>
        <w:t xml:space="preserve"> </w:t>
      </w:r>
      <w:r>
        <w:t>julio</w:t>
      </w:r>
      <w:r>
        <w:rPr>
          <w:spacing w:val="-6"/>
        </w:rPr>
        <w:t xml:space="preserve"> </w:t>
      </w:r>
      <w:r>
        <w:t>2014</w:t>
      </w:r>
      <w:r>
        <w:rPr>
          <w:spacing w:val="-8"/>
        </w:rPr>
        <w:t xml:space="preserve"> </w:t>
      </w:r>
      <w:r>
        <w:t>-</w:t>
      </w:r>
      <w:r>
        <w:rPr>
          <w:spacing w:val="42"/>
        </w:rPr>
        <w:t xml:space="preserve"> </w:t>
      </w:r>
      <w:r>
        <w:t>mayo</w:t>
      </w:r>
      <w:r>
        <w:rPr>
          <w:spacing w:val="-5"/>
        </w:rPr>
        <w:t xml:space="preserve"> </w:t>
      </w:r>
      <w:r>
        <w:t>2015,</w:t>
      </w:r>
      <w:r>
        <w:rPr>
          <w:spacing w:val="-4"/>
        </w:rPr>
        <w:t xml:space="preserve"> </w:t>
      </w:r>
      <w:r>
        <w:t>un</w:t>
      </w:r>
      <w:r>
        <w:rPr>
          <w:spacing w:val="-13"/>
        </w:rPr>
        <w:t xml:space="preserve"> </w:t>
      </w:r>
      <w:r>
        <w:t>total</w:t>
      </w:r>
      <w:r>
        <w:rPr>
          <w:spacing w:val="-11"/>
        </w:rPr>
        <w:t xml:space="preserve"> </w:t>
      </w:r>
      <w:r>
        <w:t>de</w:t>
      </w:r>
      <w:r>
        <w:rPr>
          <w:spacing w:val="-10"/>
        </w:rPr>
        <w:t xml:space="preserve"> </w:t>
      </w:r>
      <w:r>
        <w:rPr>
          <w:spacing w:val="-3"/>
        </w:rPr>
        <w:t xml:space="preserve">9,246 </w:t>
      </w:r>
      <w:r>
        <w:t>mujeres</w:t>
      </w:r>
      <w:r>
        <w:rPr>
          <w:spacing w:val="-7"/>
        </w:rPr>
        <w:t xml:space="preserve"> </w:t>
      </w:r>
      <w:r>
        <w:t>que</w:t>
      </w:r>
      <w:r>
        <w:rPr>
          <w:spacing w:val="-5"/>
        </w:rPr>
        <w:t xml:space="preserve"> </w:t>
      </w:r>
      <w:r>
        <w:t>viven</w:t>
      </w:r>
      <w:r>
        <w:rPr>
          <w:spacing w:val="-5"/>
        </w:rPr>
        <w:t xml:space="preserve"> </w:t>
      </w:r>
      <w:r>
        <w:t>en</w:t>
      </w:r>
      <w:r>
        <w:rPr>
          <w:spacing w:val="-5"/>
        </w:rPr>
        <w:t xml:space="preserve"> </w:t>
      </w:r>
      <w:r>
        <w:t>ese</w:t>
      </w:r>
      <w:r>
        <w:rPr>
          <w:spacing w:val="-5"/>
        </w:rPr>
        <w:t xml:space="preserve"> </w:t>
      </w:r>
      <w:r>
        <w:t>distrito.</w:t>
      </w:r>
      <w:r>
        <w:rPr>
          <w:spacing w:val="-3"/>
        </w:rPr>
        <w:t xml:space="preserve"> </w:t>
      </w:r>
      <w:r>
        <w:t>La</w:t>
      </w:r>
      <w:r>
        <w:rPr>
          <w:spacing w:val="-8"/>
        </w:rPr>
        <w:t xml:space="preserve"> </w:t>
      </w:r>
      <w:r>
        <w:t>muestra</w:t>
      </w:r>
      <w:r>
        <w:rPr>
          <w:spacing w:val="-4"/>
        </w:rPr>
        <w:t xml:space="preserve"> </w:t>
      </w:r>
      <w:r>
        <w:t>se</w:t>
      </w:r>
      <w:r>
        <w:rPr>
          <w:spacing w:val="-9"/>
        </w:rPr>
        <w:t xml:space="preserve"> </w:t>
      </w:r>
      <w:r>
        <w:t>obtuvo</w:t>
      </w:r>
      <w:r>
        <w:rPr>
          <w:spacing w:val="-3"/>
        </w:rPr>
        <w:t xml:space="preserve"> </w:t>
      </w:r>
      <w:r>
        <w:t>de</w:t>
      </w:r>
      <w:r>
        <w:rPr>
          <w:spacing w:val="-4"/>
        </w:rPr>
        <w:t xml:space="preserve"> </w:t>
      </w:r>
      <w:r>
        <w:t>manera</w:t>
      </w:r>
      <w:r>
        <w:rPr>
          <w:spacing w:val="-7"/>
        </w:rPr>
        <w:t xml:space="preserve"> </w:t>
      </w:r>
      <w:r>
        <w:t>intencional</w:t>
      </w:r>
      <w:r>
        <w:rPr>
          <w:spacing w:val="-2"/>
        </w:rPr>
        <w:t xml:space="preserve"> </w:t>
      </w:r>
      <w:r>
        <w:t>y</w:t>
      </w:r>
      <w:r>
        <w:rPr>
          <w:spacing w:val="-6"/>
        </w:rPr>
        <w:t xml:space="preserve"> </w:t>
      </w:r>
      <w:r>
        <w:t>estuvo conformada</w:t>
      </w:r>
      <w:r>
        <w:rPr>
          <w:spacing w:val="-8"/>
        </w:rPr>
        <w:t xml:space="preserve"> </w:t>
      </w:r>
      <w:r>
        <w:t>por</w:t>
      </w:r>
      <w:r>
        <w:rPr>
          <w:spacing w:val="-7"/>
        </w:rPr>
        <w:t xml:space="preserve"> </w:t>
      </w:r>
      <w:r>
        <w:t>todas</w:t>
      </w:r>
      <w:r>
        <w:rPr>
          <w:spacing w:val="-6"/>
        </w:rPr>
        <w:t xml:space="preserve"> </w:t>
      </w:r>
      <w:r>
        <w:t>las</w:t>
      </w:r>
      <w:r>
        <w:rPr>
          <w:spacing w:val="-5"/>
        </w:rPr>
        <w:t xml:space="preserve"> </w:t>
      </w:r>
      <w:r>
        <w:t>mujeres</w:t>
      </w:r>
      <w:r>
        <w:rPr>
          <w:spacing w:val="-5"/>
        </w:rPr>
        <w:t xml:space="preserve"> </w:t>
      </w:r>
      <w:r>
        <w:t>entre</w:t>
      </w:r>
      <w:r>
        <w:rPr>
          <w:spacing w:val="-7"/>
        </w:rPr>
        <w:t xml:space="preserve"> </w:t>
      </w:r>
      <w:r>
        <w:t>30</w:t>
      </w:r>
      <w:r>
        <w:rPr>
          <w:spacing w:val="-6"/>
        </w:rPr>
        <w:t xml:space="preserve"> </w:t>
      </w:r>
      <w:r>
        <w:t>a</w:t>
      </w:r>
      <w:r>
        <w:rPr>
          <w:spacing w:val="-8"/>
        </w:rPr>
        <w:t xml:space="preserve"> </w:t>
      </w:r>
      <w:r>
        <w:t>49</w:t>
      </w:r>
      <w:r>
        <w:rPr>
          <w:spacing w:val="-10"/>
        </w:rPr>
        <w:t xml:space="preserve"> </w:t>
      </w:r>
      <w:r>
        <w:t>años,</w:t>
      </w:r>
      <w:r>
        <w:rPr>
          <w:spacing w:val="-5"/>
        </w:rPr>
        <w:t xml:space="preserve"> </w:t>
      </w:r>
      <w:r>
        <w:t>del</w:t>
      </w:r>
      <w:r>
        <w:rPr>
          <w:spacing w:val="-6"/>
        </w:rPr>
        <w:t xml:space="preserve"> </w:t>
      </w:r>
      <w:r>
        <w:t>distrito</w:t>
      </w:r>
      <w:r>
        <w:rPr>
          <w:spacing w:val="-8"/>
        </w:rPr>
        <w:t xml:space="preserve"> </w:t>
      </w:r>
      <w:r>
        <w:t>de</w:t>
      </w:r>
      <w:r>
        <w:rPr>
          <w:spacing w:val="-5"/>
        </w:rPr>
        <w:t xml:space="preserve"> </w:t>
      </w:r>
      <w:r>
        <w:t>Catacaos</w:t>
      </w:r>
      <w:r>
        <w:rPr>
          <w:spacing w:val="-3"/>
        </w:rPr>
        <w:t xml:space="preserve"> </w:t>
      </w:r>
      <w:r>
        <w:t>de</w:t>
      </w:r>
      <w:r>
        <w:rPr>
          <w:spacing w:val="-8"/>
        </w:rPr>
        <w:t xml:space="preserve"> </w:t>
      </w:r>
      <w:r>
        <w:t>Piura, en el periodo j</w:t>
      </w:r>
      <w:r>
        <w:t>ulio 2014 - mayo 2015, que asistieron a la convocatoria del Centro de Salud y cumplieron con los criterios de selección, y que además contaban con el resultado</w:t>
      </w:r>
      <w:r>
        <w:rPr>
          <w:spacing w:val="-18"/>
        </w:rPr>
        <w:t xml:space="preserve"> </w:t>
      </w:r>
      <w:r>
        <w:t>de</w:t>
      </w:r>
      <w:r>
        <w:rPr>
          <w:spacing w:val="-19"/>
        </w:rPr>
        <w:t xml:space="preserve"> </w:t>
      </w:r>
      <w:r>
        <w:t>la</w:t>
      </w:r>
      <w:r>
        <w:rPr>
          <w:spacing w:val="-16"/>
        </w:rPr>
        <w:t xml:space="preserve"> </w:t>
      </w:r>
      <w:r>
        <w:t>prueba</w:t>
      </w:r>
      <w:r>
        <w:rPr>
          <w:spacing w:val="-14"/>
        </w:rPr>
        <w:t xml:space="preserve"> </w:t>
      </w:r>
      <w:r>
        <w:t>de</w:t>
      </w:r>
      <w:r>
        <w:rPr>
          <w:spacing w:val="-22"/>
        </w:rPr>
        <w:t xml:space="preserve"> </w:t>
      </w:r>
      <w:r>
        <w:t>cuantificación</w:t>
      </w:r>
      <w:r>
        <w:rPr>
          <w:spacing w:val="-20"/>
        </w:rPr>
        <w:t xml:space="preserve"> </w:t>
      </w:r>
      <w:r>
        <w:t>del</w:t>
      </w:r>
      <w:r>
        <w:rPr>
          <w:spacing w:val="-18"/>
        </w:rPr>
        <w:t xml:space="preserve"> </w:t>
      </w:r>
      <w:r>
        <w:t>VPH.</w:t>
      </w:r>
      <w:r>
        <w:rPr>
          <w:spacing w:val="-18"/>
        </w:rPr>
        <w:t xml:space="preserve"> </w:t>
      </w:r>
      <w:r>
        <w:t>En</w:t>
      </w:r>
      <w:r>
        <w:rPr>
          <w:spacing w:val="-15"/>
        </w:rPr>
        <w:t xml:space="preserve"> </w:t>
      </w:r>
      <w:r>
        <w:t>total</w:t>
      </w:r>
      <w:r>
        <w:rPr>
          <w:spacing w:val="-20"/>
        </w:rPr>
        <w:t xml:space="preserve"> </w:t>
      </w:r>
      <w:r>
        <w:t>la</w:t>
      </w:r>
      <w:r>
        <w:rPr>
          <w:spacing w:val="-15"/>
        </w:rPr>
        <w:t xml:space="preserve"> </w:t>
      </w:r>
      <w:r>
        <w:t>muestra</w:t>
      </w:r>
      <w:r>
        <w:rPr>
          <w:spacing w:val="-19"/>
        </w:rPr>
        <w:t xml:space="preserve"> </w:t>
      </w:r>
      <w:r>
        <w:t>fue</w:t>
      </w:r>
      <w:r>
        <w:rPr>
          <w:spacing w:val="-18"/>
        </w:rPr>
        <w:t xml:space="preserve"> </w:t>
      </w:r>
      <w:r>
        <w:t>de</w:t>
      </w:r>
      <w:r>
        <w:rPr>
          <w:spacing w:val="-22"/>
        </w:rPr>
        <w:t xml:space="preserve"> </w:t>
      </w:r>
      <w:r>
        <w:t>214</w:t>
      </w:r>
      <w:r>
        <w:rPr>
          <w:spacing w:val="-17"/>
        </w:rPr>
        <w:t xml:space="preserve"> </w:t>
      </w:r>
      <w:r>
        <w:t>mujeres.</w:t>
      </w:r>
    </w:p>
    <w:p w:rsidR="00B42EF6" w:rsidRDefault="00B42EF6">
      <w:pPr>
        <w:pStyle w:val="Textoindependiente"/>
        <w:spacing w:before="1"/>
      </w:pPr>
    </w:p>
    <w:p w:rsidR="00B42EF6" w:rsidRDefault="004565EA">
      <w:pPr>
        <w:pStyle w:val="Textoindependiente"/>
        <w:spacing w:before="1"/>
        <w:ind w:left="204"/>
        <w:jc w:val="both"/>
      </w:pPr>
      <w:r>
        <w:t>A continuación, los criterios de inclusión:</w:t>
      </w:r>
    </w:p>
    <w:p w:rsidR="00B42EF6" w:rsidRDefault="00B42EF6">
      <w:pPr>
        <w:pStyle w:val="Textoindependiente"/>
        <w:spacing w:before="6"/>
        <w:rPr>
          <w:sz w:val="21"/>
        </w:rPr>
      </w:pPr>
    </w:p>
    <w:p w:rsidR="00B42EF6" w:rsidRDefault="004565EA">
      <w:pPr>
        <w:pStyle w:val="Prrafodelista"/>
        <w:numPr>
          <w:ilvl w:val="0"/>
          <w:numId w:val="2"/>
        </w:numPr>
        <w:tabs>
          <w:tab w:val="left" w:pos="565"/>
        </w:tabs>
      </w:pPr>
      <w:r>
        <w:t>Mujeres cuya edad se encuentre entre los 30 a 49</w:t>
      </w:r>
      <w:r>
        <w:rPr>
          <w:spacing w:val="-14"/>
        </w:rPr>
        <w:t xml:space="preserve"> </w:t>
      </w:r>
      <w:r>
        <w:t>años.</w:t>
      </w:r>
    </w:p>
    <w:p w:rsidR="00B42EF6" w:rsidRDefault="004565EA">
      <w:pPr>
        <w:pStyle w:val="Prrafodelista"/>
        <w:numPr>
          <w:ilvl w:val="0"/>
          <w:numId w:val="2"/>
        </w:numPr>
        <w:tabs>
          <w:tab w:val="left" w:pos="565"/>
        </w:tabs>
      </w:pPr>
      <w:r>
        <w:t>Mujeres que aceptaron participar en el</w:t>
      </w:r>
      <w:r>
        <w:rPr>
          <w:spacing w:val="-8"/>
        </w:rPr>
        <w:t xml:space="preserve"> </w:t>
      </w:r>
      <w:r>
        <w:t>estudio.</w:t>
      </w:r>
    </w:p>
    <w:p w:rsidR="00B42EF6" w:rsidRDefault="00B42EF6">
      <w:pPr>
        <w:pStyle w:val="Textoindependiente"/>
        <w:spacing w:before="1"/>
      </w:pPr>
    </w:p>
    <w:p w:rsidR="00B42EF6" w:rsidRDefault="004565EA">
      <w:pPr>
        <w:pStyle w:val="Textoindependiente"/>
        <w:spacing w:line="252" w:lineRule="exact"/>
        <w:ind w:left="204"/>
        <w:jc w:val="both"/>
      </w:pPr>
      <w:r>
        <w:t>Los criterios de exclusión:</w:t>
      </w:r>
    </w:p>
    <w:p w:rsidR="00B42EF6" w:rsidRDefault="004565EA">
      <w:pPr>
        <w:pStyle w:val="Prrafodelista"/>
        <w:numPr>
          <w:ilvl w:val="0"/>
          <w:numId w:val="2"/>
        </w:numPr>
        <w:tabs>
          <w:tab w:val="left" w:pos="565"/>
        </w:tabs>
        <w:spacing w:line="267" w:lineRule="exact"/>
      </w:pPr>
      <w:r>
        <w:t>Mujeres con antecedentes de cirugía en el cuello</w:t>
      </w:r>
      <w:r>
        <w:rPr>
          <w:spacing w:val="-19"/>
        </w:rPr>
        <w:t xml:space="preserve"> </w:t>
      </w:r>
      <w:r>
        <w:t>uterino.</w:t>
      </w:r>
    </w:p>
    <w:p w:rsidR="00B42EF6" w:rsidRDefault="004565EA">
      <w:pPr>
        <w:pStyle w:val="Prrafodelista"/>
        <w:numPr>
          <w:ilvl w:val="0"/>
          <w:numId w:val="2"/>
        </w:numPr>
        <w:tabs>
          <w:tab w:val="left" w:pos="565"/>
        </w:tabs>
        <w:spacing w:line="268" w:lineRule="exact"/>
      </w:pPr>
      <w:r>
        <w:t>Mujeres con patología</w:t>
      </w:r>
      <w:r>
        <w:t xml:space="preserve"> médica</w:t>
      </w:r>
      <w:r>
        <w:rPr>
          <w:spacing w:val="-5"/>
        </w:rPr>
        <w:t xml:space="preserve"> </w:t>
      </w:r>
      <w:r>
        <w:t>actual.</w:t>
      </w:r>
    </w:p>
    <w:p w:rsidR="00B42EF6" w:rsidRDefault="004565EA">
      <w:pPr>
        <w:pStyle w:val="Prrafodelista"/>
        <w:numPr>
          <w:ilvl w:val="0"/>
          <w:numId w:val="2"/>
        </w:numPr>
        <w:tabs>
          <w:tab w:val="left" w:pos="565"/>
        </w:tabs>
        <w:spacing w:line="268" w:lineRule="exact"/>
      </w:pPr>
      <w:r>
        <w:t>Mujeres con patología</w:t>
      </w:r>
      <w:r>
        <w:rPr>
          <w:spacing w:val="-10"/>
        </w:rPr>
        <w:t xml:space="preserve"> </w:t>
      </w:r>
      <w:r>
        <w:t>cervical.</w:t>
      </w:r>
    </w:p>
    <w:p w:rsidR="00B42EF6" w:rsidRDefault="004565EA">
      <w:pPr>
        <w:pStyle w:val="Prrafodelista"/>
        <w:numPr>
          <w:ilvl w:val="0"/>
          <w:numId w:val="2"/>
        </w:numPr>
        <w:tabs>
          <w:tab w:val="left" w:pos="565"/>
        </w:tabs>
        <w:spacing w:line="268" w:lineRule="exact"/>
      </w:pPr>
      <w:r>
        <w:t>Mujeres que no cumplen requisitos para toma de</w:t>
      </w:r>
      <w:r>
        <w:rPr>
          <w:spacing w:val="-26"/>
        </w:rPr>
        <w:t xml:space="preserve"> </w:t>
      </w:r>
      <w:r>
        <w:t>Papanicolaou</w:t>
      </w:r>
    </w:p>
    <w:p w:rsidR="00B42EF6" w:rsidRDefault="004565EA">
      <w:pPr>
        <w:pStyle w:val="Prrafodelista"/>
        <w:numPr>
          <w:ilvl w:val="0"/>
          <w:numId w:val="2"/>
        </w:numPr>
        <w:tabs>
          <w:tab w:val="left" w:pos="565"/>
        </w:tabs>
        <w:spacing w:before="2"/>
      </w:pPr>
      <w:r>
        <w:t>Mujeres</w:t>
      </w:r>
      <w:r>
        <w:rPr>
          <w:spacing w:val="-2"/>
        </w:rPr>
        <w:t xml:space="preserve"> </w:t>
      </w:r>
      <w:r>
        <w:t>gestantes.</w:t>
      </w:r>
    </w:p>
    <w:p w:rsidR="00B42EF6" w:rsidRDefault="00B42EF6">
      <w:pPr>
        <w:pStyle w:val="Textoindependiente"/>
        <w:spacing w:before="8"/>
        <w:rPr>
          <w:sz w:val="21"/>
        </w:rPr>
      </w:pPr>
    </w:p>
    <w:p w:rsidR="00B42EF6" w:rsidRDefault="004565EA">
      <w:pPr>
        <w:pStyle w:val="Textoindependiente"/>
        <w:ind w:left="204" w:right="114"/>
        <w:jc w:val="both"/>
      </w:pPr>
      <w:r>
        <w:rPr>
          <w:b/>
        </w:rPr>
        <w:t>Materiales:</w:t>
      </w:r>
      <w:r>
        <w:rPr>
          <w:b/>
          <w:spacing w:val="-1"/>
        </w:rPr>
        <w:t xml:space="preserve"> </w:t>
      </w:r>
      <w:r>
        <w:t>Para</w:t>
      </w:r>
      <w:r>
        <w:rPr>
          <w:spacing w:val="-11"/>
        </w:rPr>
        <w:t xml:space="preserve"> </w:t>
      </w:r>
      <w:r>
        <w:t>la</w:t>
      </w:r>
      <w:r>
        <w:rPr>
          <w:spacing w:val="-10"/>
        </w:rPr>
        <w:t xml:space="preserve"> </w:t>
      </w:r>
      <w:r>
        <w:t>recolección</w:t>
      </w:r>
      <w:r>
        <w:rPr>
          <w:spacing w:val="-11"/>
        </w:rPr>
        <w:t xml:space="preserve"> </w:t>
      </w:r>
      <w:r>
        <w:t>de</w:t>
      </w:r>
      <w:r>
        <w:rPr>
          <w:spacing w:val="-11"/>
        </w:rPr>
        <w:t xml:space="preserve"> </w:t>
      </w:r>
      <w:r>
        <w:t>datos</w:t>
      </w:r>
      <w:r>
        <w:rPr>
          <w:spacing w:val="-11"/>
        </w:rPr>
        <w:t xml:space="preserve"> </w:t>
      </w:r>
      <w:r>
        <w:t>se</w:t>
      </w:r>
      <w:r>
        <w:rPr>
          <w:spacing w:val="-11"/>
        </w:rPr>
        <w:t xml:space="preserve"> </w:t>
      </w:r>
      <w:r>
        <w:t>elaboró:</w:t>
      </w:r>
      <w:r>
        <w:rPr>
          <w:spacing w:val="-10"/>
        </w:rPr>
        <w:t xml:space="preserve"> </w:t>
      </w:r>
      <w:r>
        <w:t>Un</w:t>
      </w:r>
      <w:r>
        <w:rPr>
          <w:spacing w:val="-10"/>
        </w:rPr>
        <w:t xml:space="preserve"> </w:t>
      </w:r>
      <w:r>
        <w:t>cuestionario</w:t>
      </w:r>
      <w:r>
        <w:rPr>
          <w:spacing w:val="-11"/>
        </w:rPr>
        <w:t xml:space="preserve"> </w:t>
      </w:r>
      <w:r>
        <w:t>auto</w:t>
      </w:r>
      <w:r>
        <w:rPr>
          <w:spacing w:val="-16"/>
        </w:rPr>
        <w:t xml:space="preserve"> </w:t>
      </w:r>
      <w:r>
        <w:t>administrado, anónimo, en base a la revisión bibliográfica de investigaciones anteriores. El cuestionario</w:t>
      </w:r>
      <w:r>
        <w:rPr>
          <w:spacing w:val="-13"/>
        </w:rPr>
        <w:t xml:space="preserve"> </w:t>
      </w:r>
      <w:r>
        <w:t>fue</w:t>
      </w:r>
      <w:r>
        <w:rPr>
          <w:spacing w:val="-9"/>
        </w:rPr>
        <w:t xml:space="preserve"> </w:t>
      </w:r>
      <w:r>
        <w:t>validado</w:t>
      </w:r>
      <w:r>
        <w:rPr>
          <w:spacing w:val="-3"/>
        </w:rPr>
        <w:t xml:space="preserve"> </w:t>
      </w:r>
      <w:r>
        <w:t>mediante</w:t>
      </w:r>
      <w:r>
        <w:rPr>
          <w:spacing w:val="-7"/>
        </w:rPr>
        <w:t xml:space="preserve"> </w:t>
      </w:r>
      <w:r>
        <w:t>expertos.</w:t>
      </w:r>
      <w:r>
        <w:rPr>
          <w:spacing w:val="-3"/>
        </w:rPr>
        <w:t xml:space="preserve"> </w:t>
      </w:r>
      <w:r>
        <w:t>El</w:t>
      </w:r>
      <w:r>
        <w:rPr>
          <w:spacing w:val="-8"/>
        </w:rPr>
        <w:t xml:space="preserve"> </w:t>
      </w:r>
      <w:r>
        <w:t>cuestionario</w:t>
      </w:r>
      <w:r>
        <w:rPr>
          <w:spacing w:val="-8"/>
        </w:rPr>
        <w:t xml:space="preserve"> </w:t>
      </w:r>
      <w:r>
        <w:t>cuenta</w:t>
      </w:r>
      <w:r>
        <w:rPr>
          <w:spacing w:val="-7"/>
        </w:rPr>
        <w:t xml:space="preserve"> </w:t>
      </w:r>
      <w:r>
        <w:t>con</w:t>
      </w:r>
      <w:r>
        <w:rPr>
          <w:spacing w:val="-14"/>
        </w:rPr>
        <w:t xml:space="preserve"> </w:t>
      </w:r>
      <w:r>
        <w:t>tres</w:t>
      </w:r>
      <w:r>
        <w:rPr>
          <w:spacing w:val="-5"/>
        </w:rPr>
        <w:t xml:space="preserve"> </w:t>
      </w:r>
      <w:r>
        <w:t>secciones:</w:t>
      </w:r>
    </w:p>
    <w:p w:rsidR="00B42EF6" w:rsidRDefault="00B42EF6">
      <w:pPr>
        <w:pStyle w:val="Textoindependiente"/>
        <w:spacing w:before="8"/>
        <w:rPr>
          <w:sz w:val="16"/>
        </w:rPr>
      </w:pPr>
    </w:p>
    <w:p w:rsidR="00B42EF6" w:rsidRDefault="004565EA">
      <w:pPr>
        <w:spacing w:before="94"/>
        <w:ind w:left="101"/>
        <w:rPr>
          <w:sz w:val="18"/>
        </w:rPr>
      </w:pPr>
      <w:r>
        <w:rPr>
          <w:sz w:val="18"/>
        </w:rPr>
        <w:t>Rev. Peru. Obstet. Enferm. 11 (2) 2015</w:t>
      </w:r>
    </w:p>
    <w:p w:rsidR="00B42EF6" w:rsidRDefault="00B42EF6">
      <w:pPr>
        <w:rPr>
          <w:sz w:val="18"/>
        </w:rPr>
        <w:sectPr w:rsidR="00B42EF6">
          <w:headerReference w:type="default" r:id="rId13"/>
          <w:footerReference w:type="default" r:id="rId14"/>
          <w:pgSz w:w="11920" w:h="16850"/>
          <w:pgMar w:top="1300" w:right="1580" w:bottom="280" w:left="1500" w:header="725" w:footer="0" w:gutter="0"/>
          <w:cols w:space="720"/>
        </w:sectPr>
      </w:pPr>
    </w:p>
    <w:p w:rsidR="00B42EF6" w:rsidRDefault="004565EA">
      <w:pPr>
        <w:pStyle w:val="Textoindependiente"/>
        <w:spacing w:before="89"/>
        <w:ind w:left="204" w:right="119"/>
        <w:jc w:val="both"/>
      </w:pPr>
      <w:r>
        <w:lastRenderedPageBreak/>
        <w:t>1. Datos generales, 2. Factores reproductivos, 3. Factores sexuales y practicas preventiva.</w:t>
      </w:r>
    </w:p>
    <w:p w:rsidR="00B42EF6" w:rsidRDefault="00B42EF6">
      <w:pPr>
        <w:pStyle w:val="Textoindependiente"/>
        <w:spacing w:before="6"/>
        <w:rPr>
          <w:sz w:val="21"/>
        </w:rPr>
      </w:pPr>
    </w:p>
    <w:p w:rsidR="00B42EF6" w:rsidRDefault="004565EA">
      <w:pPr>
        <w:pStyle w:val="Textoindependiente"/>
        <w:spacing w:line="242" w:lineRule="auto"/>
        <w:ind w:left="204" w:right="110"/>
        <w:jc w:val="both"/>
      </w:pPr>
      <w:r>
        <w:rPr>
          <w:b/>
        </w:rPr>
        <w:t>Técnicas</w:t>
      </w:r>
      <w:r>
        <w:rPr>
          <w:b/>
          <w:spacing w:val="-2"/>
        </w:rPr>
        <w:t xml:space="preserve"> </w:t>
      </w:r>
      <w:r>
        <w:rPr>
          <w:b/>
        </w:rPr>
        <w:t>de</w:t>
      </w:r>
      <w:r>
        <w:rPr>
          <w:b/>
          <w:spacing w:val="-2"/>
        </w:rPr>
        <w:t xml:space="preserve"> </w:t>
      </w:r>
      <w:r>
        <w:rPr>
          <w:b/>
        </w:rPr>
        <w:t>recolección</w:t>
      </w:r>
      <w:r>
        <w:rPr>
          <w:b/>
          <w:spacing w:val="1"/>
        </w:rPr>
        <w:t xml:space="preserve"> </w:t>
      </w:r>
      <w:r>
        <w:rPr>
          <w:b/>
        </w:rPr>
        <w:t>de</w:t>
      </w:r>
      <w:r>
        <w:rPr>
          <w:b/>
          <w:spacing w:val="-1"/>
        </w:rPr>
        <w:t xml:space="preserve"> </w:t>
      </w:r>
      <w:r>
        <w:rPr>
          <w:b/>
        </w:rPr>
        <w:t>datos:</w:t>
      </w:r>
      <w:r>
        <w:rPr>
          <w:b/>
          <w:spacing w:val="2"/>
        </w:rPr>
        <w:t xml:space="preserve"> </w:t>
      </w:r>
      <w:r>
        <w:t>Para</w:t>
      </w:r>
      <w:r>
        <w:rPr>
          <w:spacing w:val="-10"/>
        </w:rPr>
        <w:t xml:space="preserve"> </w:t>
      </w:r>
      <w:r>
        <w:t>la</w:t>
      </w:r>
      <w:r>
        <w:rPr>
          <w:spacing w:val="-8"/>
        </w:rPr>
        <w:t xml:space="preserve"> </w:t>
      </w:r>
      <w:r>
        <w:t>recolección</w:t>
      </w:r>
      <w:r>
        <w:rPr>
          <w:spacing w:val="-8"/>
        </w:rPr>
        <w:t xml:space="preserve"> </w:t>
      </w:r>
      <w:r>
        <w:t>de</w:t>
      </w:r>
      <w:r>
        <w:rPr>
          <w:spacing w:val="-9"/>
        </w:rPr>
        <w:t xml:space="preserve"> </w:t>
      </w:r>
      <w:r>
        <w:t>datos</w:t>
      </w:r>
      <w:r>
        <w:rPr>
          <w:spacing w:val="-6"/>
        </w:rPr>
        <w:t xml:space="preserve"> </w:t>
      </w:r>
      <w:r>
        <w:t>de</w:t>
      </w:r>
      <w:r>
        <w:rPr>
          <w:spacing w:val="-7"/>
        </w:rPr>
        <w:t xml:space="preserve"> </w:t>
      </w:r>
      <w:r>
        <w:t>las</w:t>
      </w:r>
      <w:r>
        <w:rPr>
          <w:spacing w:val="-9"/>
        </w:rPr>
        <w:t xml:space="preserve"> </w:t>
      </w:r>
      <w:r>
        <w:t>intervenciones de tamizaje se empleó la Historia Clínica, y una hoja (ficha) de registro donde se registraron los datos de identificación de las participantes (edad), los resultados de los tamizaje.</w:t>
      </w:r>
    </w:p>
    <w:p w:rsidR="00B42EF6" w:rsidRDefault="00B42EF6">
      <w:pPr>
        <w:pStyle w:val="Textoindependiente"/>
        <w:spacing w:before="10"/>
        <w:rPr>
          <w:sz w:val="20"/>
        </w:rPr>
      </w:pPr>
    </w:p>
    <w:p w:rsidR="00B42EF6" w:rsidRDefault="004565EA">
      <w:pPr>
        <w:pStyle w:val="Ttulo3"/>
      </w:pPr>
      <w:r>
        <w:t>Procesamiento y análisis de datos</w:t>
      </w:r>
    </w:p>
    <w:p w:rsidR="00B42EF6" w:rsidRDefault="004565EA">
      <w:pPr>
        <w:pStyle w:val="Textoindependiente"/>
        <w:spacing w:before="3"/>
        <w:ind w:left="204" w:right="111"/>
        <w:jc w:val="both"/>
      </w:pPr>
      <w:r>
        <w:t>Se tabularon los datos</w:t>
      </w:r>
      <w:r>
        <w:t xml:space="preserve"> en tablas de frecuencias, se estimó las frecuencias absolutas y relativas, empleándose tablas de doble entrada para las variables categóricas. Se realizó análisis exploratorio empleando gráficos de normalidad, diagramas de cajas, entre</w:t>
      </w:r>
      <w:r>
        <w:rPr>
          <w:spacing w:val="-5"/>
        </w:rPr>
        <w:t xml:space="preserve"> </w:t>
      </w:r>
      <w:r>
        <w:t>otros.</w:t>
      </w:r>
      <w:r>
        <w:rPr>
          <w:spacing w:val="-2"/>
        </w:rPr>
        <w:t xml:space="preserve"> </w:t>
      </w:r>
      <w:r>
        <w:t>Así</w:t>
      </w:r>
      <w:r>
        <w:rPr>
          <w:spacing w:val="-8"/>
        </w:rPr>
        <w:t xml:space="preserve"> </w:t>
      </w:r>
      <w:r>
        <w:t>como</w:t>
      </w:r>
      <w:r>
        <w:rPr>
          <w:spacing w:val="-4"/>
        </w:rPr>
        <w:t xml:space="preserve"> </w:t>
      </w:r>
      <w:r>
        <w:t>el</w:t>
      </w:r>
      <w:r>
        <w:rPr>
          <w:spacing w:val="-11"/>
        </w:rPr>
        <w:t xml:space="preserve"> </w:t>
      </w:r>
      <w:r>
        <w:t>análisis</w:t>
      </w:r>
      <w:r>
        <w:rPr>
          <w:spacing w:val="-5"/>
        </w:rPr>
        <w:t xml:space="preserve"> </w:t>
      </w:r>
      <w:r>
        <w:t>univariado</w:t>
      </w:r>
      <w:r>
        <w:rPr>
          <w:spacing w:val="-3"/>
        </w:rPr>
        <w:t xml:space="preserve"> </w:t>
      </w:r>
      <w:r>
        <w:t>y</w:t>
      </w:r>
      <w:r>
        <w:rPr>
          <w:spacing w:val="-5"/>
        </w:rPr>
        <w:t xml:space="preserve"> </w:t>
      </w:r>
      <w:r>
        <w:t>bivariado,</w:t>
      </w:r>
      <w:r>
        <w:rPr>
          <w:spacing w:val="-2"/>
        </w:rPr>
        <w:t xml:space="preserve"> </w:t>
      </w:r>
      <w:r>
        <w:t>esta</w:t>
      </w:r>
      <w:r>
        <w:rPr>
          <w:spacing w:val="-5"/>
        </w:rPr>
        <w:t xml:space="preserve"> </w:t>
      </w:r>
      <w:r>
        <w:t>última</w:t>
      </w:r>
      <w:r>
        <w:rPr>
          <w:spacing w:val="-7"/>
        </w:rPr>
        <w:t xml:space="preserve"> </w:t>
      </w:r>
      <w:r>
        <w:t>mediante</w:t>
      </w:r>
      <w:r>
        <w:rPr>
          <w:spacing w:val="-4"/>
        </w:rPr>
        <w:t xml:space="preserve"> </w:t>
      </w:r>
      <w:r>
        <w:t>prueba</w:t>
      </w:r>
      <w:r>
        <w:rPr>
          <w:spacing w:val="-8"/>
        </w:rPr>
        <w:t xml:space="preserve"> </w:t>
      </w:r>
      <w:r>
        <w:t xml:space="preserve">chi cuadrado y prueba t, según la escala de medición de las variables. La prevalencia se estimó empleando intervalos de confianza al 95%. En todos los análisis se consideran un p&lt;0,05 y un nivel </w:t>
      </w:r>
      <w:r>
        <w:t>de confianza del 95%. Se empleó el software estadístico SPSS para Windows vs.</w:t>
      </w:r>
      <w:r>
        <w:rPr>
          <w:spacing w:val="-9"/>
        </w:rPr>
        <w:t xml:space="preserve"> </w:t>
      </w:r>
      <w:r>
        <w:t>22.0.</w:t>
      </w:r>
    </w:p>
    <w:p w:rsidR="00B42EF6" w:rsidRDefault="00B42EF6">
      <w:pPr>
        <w:pStyle w:val="Textoindependiente"/>
        <w:spacing w:before="8"/>
        <w:rPr>
          <w:sz w:val="21"/>
        </w:rPr>
      </w:pPr>
    </w:p>
    <w:p w:rsidR="00B42EF6" w:rsidRDefault="004565EA">
      <w:pPr>
        <w:pStyle w:val="Textoindependiente"/>
        <w:ind w:left="204" w:right="110"/>
        <w:jc w:val="both"/>
      </w:pPr>
      <w:r>
        <w:rPr>
          <w:b/>
        </w:rPr>
        <w:t xml:space="preserve">Aspectos éticos: </w:t>
      </w:r>
      <w:r>
        <w:t>La presente investigación se realiza para obtener el título de especialidad, por lo cual el empleo de la información obtenida tiene sólo fines académicos. En todo momento se garantizó la autonomía de las participantes, y ello se realizó aplicando el consen</w:t>
      </w:r>
      <w:r>
        <w:t>timiento informado, donde se detallaron los procedimientos a realizar, la garantía de privacidad, respeto y confidencialidad de la información proporcionada. Así mismo se solicitó la aprobación del comité de ética del Instituto Nacional de Enfermedades Neo</w:t>
      </w:r>
      <w:r>
        <w:t>plásicas, para obtener los permisos por el uso de la información.</w:t>
      </w:r>
    </w:p>
    <w:p w:rsidR="00B42EF6" w:rsidRDefault="00B42EF6">
      <w:pPr>
        <w:pStyle w:val="Textoindependiente"/>
        <w:spacing w:before="8"/>
        <w:rPr>
          <w:sz w:val="21"/>
        </w:rPr>
      </w:pPr>
    </w:p>
    <w:p w:rsidR="00B42EF6" w:rsidRDefault="004565EA">
      <w:pPr>
        <w:pStyle w:val="Ttulo3"/>
        <w:spacing w:before="0"/>
      </w:pPr>
      <w:r>
        <w:t>Resultados</w:t>
      </w:r>
    </w:p>
    <w:p w:rsidR="00B42EF6" w:rsidRDefault="00B42EF6">
      <w:pPr>
        <w:pStyle w:val="Textoindependiente"/>
        <w:spacing w:before="7"/>
        <w:rPr>
          <w:b/>
          <w:sz w:val="20"/>
        </w:rPr>
      </w:pPr>
    </w:p>
    <w:p w:rsidR="00B42EF6" w:rsidRDefault="004565EA">
      <w:pPr>
        <w:pStyle w:val="Textoindependiente"/>
        <w:ind w:left="204" w:right="112"/>
        <w:jc w:val="both"/>
      </w:pPr>
      <w:r>
        <w:t>Participaron</w:t>
      </w:r>
      <w:r>
        <w:rPr>
          <w:spacing w:val="-7"/>
        </w:rPr>
        <w:t xml:space="preserve"> </w:t>
      </w:r>
      <w:r>
        <w:t>en</w:t>
      </w:r>
      <w:r>
        <w:rPr>
          <w:spacing w:val="-7"/>
        </w:rPr>
        <w:t xml:space="preserve"> </w:t>
      </w:r>
      <w:r>
        <w:t>el</w:t>
      </w:r>
      <w:r>
        <w:rPr>
          <w:spacing w:val="-7"/>
        </w:rPr>
        <w:t xml:space="preserve"> </w:t>
      </w:r>
      <w:r>
        <w:t>estudio</w:t>
      </w:r>
      <w:r>
        <w:rPr>
          <w:spacing w:val="-6"/>
        </w:rPr>
        <w:t xml:space="preserve"> </w:t>
      </w:r>
      <w:r>
        <w:t>un</w:t>
      </w:r>
      <w:r>
        <w:rPr>
          <w:spacing w:val="-8"/>
        </w:rPr>
        <w:t xml:space="preserve"> </w:t>
      </w:r>
      <w:r>
        <w:t>total</w:t>
      </w:r>
      <w:r>
        <w:rPr>
          <w:spacing w:val="-7"/>
        </w:rPr>
        <w:t xml:space="preserve"> </w:t>
      </w:r>
      <w:r>
        <w:t>de</w:t>
      </w:r>
      <w:r>
        <w:rPr>
          <w:spacing w:val="-9"/>
        </w:rPr>
        <w:t xml:space="preserve"> </w:t>
      </w:r>
      <w:r>
        <w:t>214</w:t>
      </w:r>
      <w:r>
        <w:rPr>
          <w:spacing w:val="-9"/>
        </w:rPr>
        <w:t xml:space="preserve"> </w:t>
      </w:r>
      <w:r>
        <w:t>mujeres</w:t>
      </w:r>
      <w:r>
        <w:rPr>
          <w:spacing w:val="-8"/>
        </w:rPr>
        <w:t xml:space="preserve"> </w:t>
      </w:r>
      <w:r>
        <w:t>entre</w:t>
      </w:r>
      <w:r>
        <w:rPr>
          <w:spacing w:val="-7"/>
        </w:rPr>
        <w:t xml:space="preserve"> </w:t>
      </w:r>
      <w:r>
        <w:t>los</w:t>
      </w:r>
      <w:r>
        <w:rPr>
          <w:spacing w:val="-7"/>
        </w:rPr>
        <w:t xml:space="preserve"> </w:t>
      </w:r>
      <w:r>
        <w:t>30</w:t>
      </w:r>
      <w:r>
        <w:rPr>
          <w:spacing w:val="-7"/>
        </w:rPr>
        <w:t xml:space="preserve"> </w:t>
      </w:r>
      <w:r>
        <w:t>a</w:t>
      </w:r>
      <w:r>
        <w:rPr>
          <w:spacing w:val="-9"/>
        </w:rPr>
        <w:t xml:space="preserve"> </w:t>
      </w:r>
      <w:r>
        <w:t>más</w:t>
      </w:r>
      <w:r>
        <w:rPr>
          <w:spacing w:val="-8"/>
        </w:rPr>
        <w:t xml:space="preserve"> </w:t>
      </w:r>
      <w:r>
        <w:t>de</w:t>
      </w:r>
      <w:r>
        <w:rPr>
          <w:spacing w:val="-9"/>
        </w:rPr>
        <w:t xml:space="preserve"> </w:t>
      </w:r>
      <w:r>
        <w:rPr>
          <w:spacing w:val="-3"/>
        </w:rPr>
        <w:t>edad.</w:t>
      </w:r>
      <w:r>
        <w:rPr>
          <w:spacing w:val="43"/>
        </w:rPr>
        <w:t xml:space="preserve"> </w:t>
      </w:r>
      <w:r>
        <w:t>La</w:t>
      </w:r>
      <w:r>
        <w:rPr>
          <w:spacing w:val="-12"/>
        </w:rPr>
        <w:t xml:space="preserve"> </w:t>
      </w:r>
      <w:r>
        <w:rPr>
          <w:spacing w:val="-3"/>
        </w:rPr>
        <w:t xml:space="preserve">media </w:t>
      </w:r>
      <w:r>
        <w:t>de edad fue 39.48 ± 7.6 (IC 95%; 38.4-40.5) con mínimo de 30 años y una máxima</w:t>
      </w:r>
      <w:r>
        <w:rPr>
          <w:spacing w:val="13"/>
        </w:rPr>
        <w:t xml:space="preserve"> </w:t>
      </w:r>
      <w:r>
        <w:t>de</w:t>
      </w:r>
    </w:p>
    <w:p w:rsidR="00B42EF6" w:rsidRDefault="004565EA">
      <w:pPr>
        <w:pStyle w:val="Textoindependiente"/>
        <w:spacing w:line="237" w:lineRule="auto"/>
        <w:ind w:left="204" w:right="111"/>
        <w:jc w:val="both"/>
      </w:pPr>
      <w:r>
        <w:t>84.</w:t>
      </w:r>
      <w:r>
        <w:rPr>
          <w:spacing w:val="-5"/>
        </w:rPr>
        <w:t xml:space="preserve"> </w:t>
      </w:r>
      <w:r>
        <w:t>Un</w:t>
      </w:r>
      <w:r>
        <w:rPr>
          <w:spacing w:val="-3"/>
        </w:rPr>
        <w:t xml:space="preserve"> </w:t>
      </w:r>
      <w:r>
        <w:t>50.5%</w:t>
      </w:r>
      <w:r>
        <w:rPr>
          <w:spacing w:val="-7"/>
        </w:rPr>
        <w:t xml:space="preserve"> </w:t>
      </w:r>
      <w:r>
        <w:t>(108/214)</w:t>
      </w:r>
      <w:r>
        <w:rPr>
          <w:spacing w:val="-8"/>
        </w:rPr>
        <w:t xml:space="preserve"> </w:t>
      </w:r>
      <w:r>
        <w:t>de</w:t>
      </w:r>
      <w:r>
        <w:rPr>
          <w:spacing w:val="-3"/>
        </w:rPr>
        <w:t xml:space="preserve"> </w:t>
      </w:r>
      <w:r>
        <w:t>las</w:t>
      </w:r>
      <w:r>
        <w:rPr>
          <w:spacing w:val="-9"/>
        </w:rPr>
        <w:t xml:space="preserve"> </w:t>
      </w:r>
      <w:r>
        <w:t>mujeres</w:t>
      </w:r>
      <w:r>
        <w:rPr>
          <w:spacing w:val="-7"/>
        </w:rPr>
        <w:t xml:space="preserve"> </w:t>
      </w:r>
      <w:r>
        <w:t>tenían</w:t>
      </w:r>
      <w:r>
        <w:rPr>
          <w:spacing w:val="-5"/>
        </w:rPr>
        <w:t xml:space="preserve"> </w:t>
      </w:r>
      <w:r>
        <w:t>edad</w:t>
      </w:r>
      <w:r>
        <w:rPr>
          <w:spacing w:val="-5"/>
        </w:rPr>
        <w:t xml:space="preserve"> </w:t>
      </w:r>
      <w:r>
        <w:t>entre</w:t>
      </w:r>
      <w:r>
        <w:rPr>
          <w:spacing w:val="-5"/>
        </w:rPr>
        <w:t xml:space="preserve"> </w:t>
      </w:r>
      <w:r>
        <w:t>30</w:t>
      </w:r>
      <w:r>
        <w:rPr>
          <w:spacing w:val="-8"/>
        </w:rPr>
        <w:t xml:space="preserve"> </w:t>
      </w:r>
      <w:r>
        <w:t>a</w:t>
      </w:r>
      <w:r>
        <w:rPr>
          <w:spacing w:val="-6"/>
        </w:rPr>
        <w:t xml:space="preserve"> </w:t>
      </w:r>
      <w:r>
        <w:t>39</w:t>
      </w:r>
      <w:r>
        <w:rPr>
          <w:spacing w:val="-5"/>
        </w:rPr>
        <w:t xml:space="preserve"> </w:t>
      </w:r>
      <w:r>
        <w:t>años,</w:t>
      </w:r>
      <w:r>
        <w:rPr>
          <w:spacing w:val="-3"/>
        </w:rPr>
        <w:t xml:space="preserve"> </w:t>
      </w:r>
      <w:r>
        <w:t>40.7%</w:t>
      </w:r>
      <w:r>
        <w:rPr>
          <w:spacing w:val="-7"/>
        </w:rPr>
        <w:t xml:space="preserve"> </w:t>
      </w:r>
      <w:r>
        <w:t>(87/214) entre 40 y 49 años (véase tabla N</w:t>
      </w:r>
      <w:r>
        <w:rPr>
          <w:position w:val="8"/>
          <w:sz w:val="14"/>
        </w:rPr>
        <w:t>o</w:t>
      </w:r>
      <w:r>
        <w:rPr>
          <w:spacing w:val="6"/>
          <w:position w:val="8"/>
          <w:sz w:val="14"/>
        </w:rPr>
        <w:t xml:space="preserve"> </w:t>
      </w:r>
      <w:r>
        <w:t>1).</w:t>
      </w:r>
    </w:p>
    <w:p w:rsidR="00B42EF6" w:rsidRDefault="00B42EF6">
      <w:pPr>
        <w:pStyle w:val="Textoindependiente"/>
        <w:rPr>
          <w:sz w:val="24"/>
        </w:rPr>
      </w:pPr>
    </w:p>
    <w:p w:rsidR="00B42EF6" w:rsidRDefault="004565EA">
      <w:pPr>
        <w:spacing w:before="181"/>
        <w:ind w:left="2801"/>
        <w:rPr>
          <w:sz w:val="20"/>
        </w:rPr>
      </w:pPr>
      <w:r>
        <w:rPr>
          <w:b/>
          <w:sz w:val="20"/>
        </w:rPr>
        <w:t>Tabla N</w:t>
      </w:r>
      <w:r>
        <w:rPr>
          <w:b/>
          <w:position w:val="7"/>
          <w:sz w:val="13"/>
        </w:rPr>
        <w:t xml:space="preserve">o </w:t>
      </w:r>
      <w:r>
        <w:rPr>
          <w:b/>
          <w:sz w:val="20"/>
        </w:rPr>
        <w:t xml:space="preserve">1. </w:t>
      </w:r>
      <w:r>
        <w:rPr>
          <w:sz w:val="20"/>
        </w:rPr>
        <w:t>Edad de las participantes</w:t>
      </w:r>
    </w:p>
    <w:p w:rsidR="00B42EF6" w:rsidRDefault="00B42EF6">
      <w:pPr>
        <w:pStyle w:val="Textoindependiente"/>
        <w:spacing w:before="9"/>
        <w:rPr>
          <w:sz w:val="21"/>
        </w:rPr>
      </w:pPr>
    </w:p>
    <w:tbl>
      <w:tblPr>
        <w:tblStyle w:val="TableNormal"/>
        <w:tblW w:w="0" w:type="auto"/>
        <w:tblInd w:w="197" w:type="dxa"/>
        <w:tblLayout w:type="fixed"/>
        <w:tblLook w:val="01E0" w:firstRow="1" w:lastRow="1" w:firstColumn="1" w:lastColumn="1" w:noHBand="0" w:noVBand="0"/>
      </w:tblPr>
      <w:tblGrid>
        <w:gridCol w:w="3481"/>
        <w:gridCol w:w="2325"/>
        <w:gridCol w:w="2706"/>
      </w:tblGrid>
      <w:tr w:rsidR="00B42EF6">
        <w:trPr>
          <w:trHeight w:val="453"/>
        </w:trPr>
        <w:tc>
          <w:tcPr>
            <w:tcW w:w="3481" w:type="dxa"/>
            <w:tcBorders>
              <w:top w:val="single" w:sz="4" w:space="0" w:color="000000"/>
              <w:bottom w:val="single" w:sz="4" w:space="0" w:color="000000"/>
            </w:tcBorders>
          </w:tcPr>
          <w:p w:rsidR="00B42EF6" w:rsidRDefault="004565EA">
            <w:pPr>
              <w:pStyle w:val="TableParagraph"/>
              <w:spacing w:before="105"/>
              <w:ind w:left="525"/>
              <w:rPr>
                <w:b/>
                <w:sz w:val="20"/>
              </w:rPr>
            </w:pPr>
            <w:r>
              <w:rPr>
                <w:b/>
                <w:sz w:val="20"/>
              </w:rPr>
              <w:t>Rango de Edad (años)</w:t>
            </w:r>
          </w:p>
        </w:tc>
        <w:tc>
          <w:tcPr>
            <w:tcW w:w="2325" w:type="dxa"/>
            <w:tcBorders>
              <w:top w:val="single" w:sz="4" w:space="0" w:color="000000"/>
              <w:bottom w:val="single" w:sz="4" w:space="0" w:color="000000"/>
            </w:tcBorders>
          </w:tcPr>
          <w:p w:rsidR="00B42EF6" w:rsidRDefault="004565EA">
            <w:pPr>
              <w:pStyle w:val="TableParagraph"/>
              <w:spacing w:before="105"/>
              <w:ind w:left="952"/>
              <w:rPr>
                <w:b/>
                <w:sz w:val="20"/>
              </w:rPr>
            </w:pPr>
            <w:r>
              <w:rPr>
                <w:b/>
                <w:w w:val="97"/>
                <w:sz w:val="20"/>
              </w:rPr>
              <w:t>n</w:t>
            </w:r>
          </w:p>
        </w:tc>
        <w:tc>
          <w:tcPr>
            <w:tcW w:w="2706" w:type="dxa"/>
            <w:tcBorders>
              <w:top w:val="single" w:sz="4" w:space="0" w:color="000000"/>
              <w:bottom w:val="single" w:sz="4" w:space="0" w:color="000000"/>
            </w:tcBorders>
          </w:tcPr>
          <w:p w:rsidR="00B42EF6" w:rsidRDefault="004565EA">
            <w:pPr>
              <w:pStyle w:val="TableParagraph"/>
              <w:spacing w:before="105"/>
              <w:ind w:left="27"/>
              <w:jc w:val="center"/>
              <w:rPr>
                <w:b/>
                <w:sz w:val="20"/>
              </w:rPr>
            </w:pPr>
            <w:r>
              <w:rPr>
                <w:b/>
                <w:w w:val="97"/>
                <w:sz w:val="20"/>
              </w:rPr>
              <w:t>%</w:t>
            </w:r>
          </w:p>
        </w:tc>
      </w:tr>
      <w:tr w:rsidR="00B42EF6">
        <w:trPr>
          <w:trHeight w:val="299"/>
        </w:trPr>
        <w:tc>
          <w:tcPr>
            <w:tcW w:w="3481" w:type="dxa"/>
            <w:tcBorders>
              <w:top w:val="single" w:sz="4" w:space="0" w:color="000000"/>
            </w:tcBorders>
          </w:tcPr>
          <w:p w:rsidR="00B42EF6" w:rsidRDefault="004565EA">
            <w:pPr>
              <w:pStyle w:val="TableParagraph"/>
              <w:spacing w:before="30"/>
              <w:ind w:left="1328" w:right="1468"/>
              <w:jc w:val="center"/>
              <w:rPr>
                <w:sz w:val="20"/>
              </w:rPr>
            </w:pPr>
            <w:r>
              <w:rPr>
                <w:sz w:val="20"/>
              </w:rPr>
              <w:t>≤ 29</w:t>
            </w:r>
          </w:p>
        </w:tc>
        <w:tc>
          <w:tcPr>
            <w:tcW w:w="2325" w:type="dxa"/>
            <w:tcBorders>
              <w:top w:val="single" w:sz="4" w:space="0" w:color="000000"/>
            </w:tcBorders>
          </w:tcPr>
          <w:p w:rsidR="00B42EF6" w:rsidRDefault="004565EA">
            <w:pPr>
              <w:pStyle w:val="TableParagraph"/>
              <w:spacing w:before="30"/>
              <w:ind w:left="902"/>
              <w:rPr>
                <w:sz w:val="20"/>
              </w:rPr>
            </w:pPr>
            <w:r>
              <w:rPr>
                <w:sz w:val="20"/>
              </w:rPr>
              <w:t>10</w:t>
            </w:r>
          </w:p>
        </w:tc>
        <w:tc>
          <w:tcPr>
            <w:tcW w:w="2706" w:type="dxa"/>
            <w:tcBorders>
              <w:top w:val="single" w:sz="4" w:space="0" w:color="000000"/>
            </w:tcBorders>
          </w:tcPr>
          <w:p w:rsidR="00B42EF6" w:rsidRDefault="004565EA">
            <w:pPr>
              <w:pStyle w:val="TableParagraph"/>
              <w:spacing w:before="30"/>
              <w:ind w:left="1081" w:right="1052"/>
              <w:jc w:val="center"/>
              <w:rPr>
                <w:sz w:val="20"/>
              </w:rPr>
            </w:pPr>
            <w:r>
              <w:rPr>
                <w:sz w:val="20"/>
              </w:rPr>
              <w:t>4.7</w:t>
            </w:r>
          </w:p>
        </w:tc>
      </w:tr>
      <w:tr w:rsidR="00B42EF6">
        <w:trPr>
          <w:trHeight w:val="281"/>
        </w:trPr>
        <w:tc>
          <w:tcPr>
            <w:tcW w:w="3481" w:type="dxa"/>
          </w:tcPr>
          <w:p w:rsidR="00B42EF6" w:rsidRDefault="004565EA">
            <w:pPr>
              <w:pStyle w:val="TableParagraph"/>
              <w:spacing w:before="31"/>
              <w:ind w:left="1328" w:right="1466"/>
              <w:jc w:val="center"/>
              <w:rPr>
                <w:sz w:val="20"/>
              </w:rPr>
            </w:pPr>
            <w:r>
              <w:rPr>
                <w:sz w:val="20"/>
              </w:rPr>
              <w:t>30-39</w:t>
            </w:r>
          </w:p>
        </w:tc>
        <w:tc>
          <w:tcPr>
            <w:tcW w:w="2325" w:type="dxa"/>
          </w:tcPr>
          <w:p w:rsidR="00B42EF6" w:rsidRDefault="004565EA">
            <w:pPr>
              <w:pStyle w:val="TableParagraph"/>
              <w:spacing w:before="31"/>
              <w:ind w:left="847"/>
              <w:rPr>
                <w:sz w:val="20"/>
              </w:rPr>
            </w:pPr>
            <w:r>
              <w:rPr>
                <w:sz w:val="20"/>
              </w:rPr>
              <w:t>108</w:t>
            </w:r>
          </w:p>
        </w:tc>
        <w:tc>
          <w:tcPr>
            <w:tcW w:w="2706" w:type="dxa"/>
          </w:tcPr>
          <w:p w:rsidR="00B42EF6" w:rsidRDefault="004565EA">
            <w:pPr>
              <w:pStyle w:val="TableParagraph"/>
              <w:spacing w:before="31"/>
              <w:ind w:left="1081" w:right="1052"/>
              <w:jc w:val="center"/>
              <w:rPr>
                <w:sz w:val="20"/>
              </w:rPr>
            </w:pPr>
            <w:r>
              <w:rPr>
                <w:sz w:val="20"/>
              </w:rPr>
              <w:t>50.5</w:t>
            </w:r>
          </w:p>
        </w:tc>
      </w:tr>
      <w:tr w:rsidR="00B42EF6">
        <w:trPr>
          <w:trHeight w:val="267"/>
        </w:trPr>
        <w:tc>
          <w:tcPr>
            <w:tcW w:w="3481" w:type="dxa"/>
          </w:tcPr>
          <w:p w:rsidR="00B42EF6" w:rsidRDefault="004565EA">
            <w:pPr>
              <w:pStyle w:val="TableParagraph"/>
              <w:spacing w:before="13"/>
              <w:ind w:left="1328" w:right="1466"/>
              <w:jc w:val="center"/>
              <w:rPr>
                <w:sz w:val="20"/>
              </w:rPr>
            </w:pPr>
            <w:r>
              <w:rPr>
                <w:sz w:val="20"/>
              </w:rPr>
              <w:t>40-49</w:t>
            </w:r>
          </w:p>
        </w:tc>
        <w:tc>
          <w:tcPr>
            <w:tcW w:w="2325" w:type="dxa"/>
          </w:tcPr>
          <w:p w:rsidR="00B42EF6" w:rsidRDefault="004565EA">
            <w:pPr>
              <w:pStyle w:val="TableParagraph"/>
              <w:spacing w:before="13"/>
              <w:ind w:left="902"/>
              <w:rPr>
                <w:sz w:val="20"/>
              </w:rPr>
            </w:pPr>
            <w:r>
              <w:rPr>
                <w:sz w:val="20"/>
              </w:rPr>
              <w:t>87</w:t>
            </w:r>
          </w:p>
        </w:tc>
        <w:tc>
          <w:tcPr>
            <w:tcW w:w="2706" w:type="dxa"/>
          </w:tcPr>
          <w:p w:rsidR="00B42EF6" w:rsidRDefault="004565EA">
            <w:pPr>
              <w:pStyle w:val="TableParagraph"/>
              <w:spacing w:before="13"/>
              <w:ind w:left="1081" w:right="1052"/>
              <w:jc w:val="center"/>
              <w:rPr>
                <w:sz w:val="20"/>
              </w:rPr>
            </w:pPr>
            <w:r>
              <w:rPr>
                <w:sz w:val="20"/>
              </w:rPr>
              <w:t>40.7</w:t>
            </w:r>
          </w:p>
        </w:tc>
      </w:tr>
      <w:tr w:rsidR="00B42EF6">
        <w:trPr>
          <w:trHeight w:val="281"/>
        </w:trPr>
        <w:tc>
          <w:tcPr>
            <w:tcW w:w="3481" w:type="dxa"/>
          </w:tcPr>
          <w:p w:rsidR="00B42EF6" w:rsidRDefault="004565EA">
            <w:pPr>
              <w:pStyle w:val="TableParagraph"/>
              <w:spacing w:before="17"/>
              <w:ind w:left="1328" w:right="1466"/>
              <w:jc w:val="center"/>
              <w:rPr>
                <w:sz w:val="20"/>
              </w:rPr>
            </w:pPr>
            <w:r>
              <w:rPr>
                <w:sz w:val="20"/>
              </w:rPr>
              <w:t>50-60</w:t>
            </w:r>
          </w:p>
        </w:tc>
        <w:tc>
          <w:tcPr>
            <w:tcW w:w="2325" w:type="dxa"/>
          </w:tcPr>
          <w:p w:rsidR="00B42EF6" w:rsidRDefault="004565EA">
            <w:pPr>
              <w:pStyle w:val="TableParagraph"/>
              <w:spacing w:before="17"/>
              <w:ind w:left="959"/>
              <w:rPr>
                <w:sz w:val="20"/>
              </w:rPr>
            </w:pPr>
            <w:r>
              <w:rPr>
                <w:w w:val="96"/>
                <w:sz w:val="20"/>
              </w:rPr>
              <w:t>6</w:t>
            </w:r>
          </w:p>
        </w:tc>
        <w:tc>
          <w:tcPr>
            <w:tcW w:w="2706" w:type="dxa"/>
          </w:tcPr>
          <w:p w:rsidR="00B42EF6" w:rsidRDefault="004565EA">
            <w:pPr>
              <w:pStyle w:val="TableParagraph"/>
              <w:spacing w:before="17"/>
              <w:ind w:left="1081" w:right="1052"/>
              <w:jc w:val="center"/>
              <w:rPr>
                <w:sz w:val="20"/>
              </w:rPr>
            </w:pPr>
            <w:r>
              <w:rPr>
                <w:sz w:val="20"/>
              </w:rPr>
              <w:t>2.8</w:t>
            </w:r>
          </w:p>
        </w:tc>
      </w:tr>
      <w:tr w:rsidR="00B42EF6">
        <w:trPr>
          <w:trHeight w:val="325"/>
        </w:trPr>
        <w:tc>
          <w:tcPr>
            <w:tcW w:w="3481" w:type="dxa"/>
          </w:tcPr>
          <w:p w:rsidR="00B42EF6" w:rsidRDefault="004565EA">
            <w:pPr>
              <w:pStyle w:val="TableParagraph"/>
              <w:spacing w:before="27"/>
              <w:ind w:left="1328" w:right="1468"/>
              <w:jc w:val="center"/>
              <w:rPr>
                <w:sz w:val="20"/>
              </w:rPr>
            </w:pPr>
            <w:r>
              <w:rPr>
                <w:sz w:val="20"/>
              </w:rPr>
              <w:t>≥ 61</w:t>
            </w:r>
          </w:p>
        </w:tc>
        <w:tc>
          <w:tcPr>
            <w:tcW w:w="2325" w:type="dxa"/>
          </w:tcPr>
          <w:p w:rsidR="00B42EF6" w:rsidRDefault="004565EA">
            <w:pPr>
              <w:pStyle w:val="TableParagraph"/>
              <w:spacing w:before="27"/>
              <w:ind w:left="959"/>
              <w:rPr>
                <w:sz w:val="20"/>
              </w:rPr>
            </w:pPr>
            <w:r>
              <w:rPr>
                <w:w w:val="96"/>
                <w:sz w:val="20"/>
              </w:rPr>
              <w:t>3</w:t>
            </w:r>
          </w:p>
        </w:tc>
        <w:tc>
          <w:tcPr>
            <w:tcW w:w="2706" w:type="dxa"/>
          </w:tcPr>
          <w:p w:rsidR="00B42EF6" w:rsidRDefault="004565EA">
            <w:pPr>
              <w:pStyle w:val="TableParagraph"/>
              <w:spacing w:before="27"/>
              <w:ind w:left="1081" w:right="1052"/>
              <w:jc w:val="center"/>
              <w:rPr>
                <w:sz w:val="20"/>
              </w:rPr>
            </w:pPr>
            <w:r>
              <w:rPr>
                <w:sz w:val="20"/>
              </w:rPr>
              <w:t>1.4</w:t>
            </w:r>
          </w:p>
        </w:tc>
      </w:tr>
      <w:tr w:rsidR="00B42EF6">
        <w:trPr>
          <w:trHeight w:val="419"/>
        </w:trPr>
        <w:tc>
          <w:tcPr>
            <w:tcW w:w="3481" w:type="dxa"/>
            <w:tcBorders>
              <w:bottom w:val="single" w:sz="4" w:space="0" w:color="000000"/>
            </w:tcBorders>
          </w:tcPr>
          <w:p w:rsidR="00B42EF6" w:rsidRDefault="004565EA">
            <w:pPr>
              <w:pStyle w:val="TableParagraph"/>
              <w:spacing w:before="61"/>
              <w:ind w:left="1227" w:right="1533"/>
              <w:jc w:val="center"/>
              <w:rPr>
                <w:b/>
                <w:sz w:val="20"/>
              </w:rPr>
            </w:pPr>
            <w:r>
              <w:rPr>
                <w:b/>
                <w:sz w:val="20"/>
              </w:rPr>
              <w:t>Total</w:t>
            </w:r>
          </w:p>
        </w:tc>
        <w:tc>
          <w:tcPr>
            <w:tcW w:w="2325" w:type="dxa"/>
            <w:tcBorders>
              <w:bottom w:val="single" w:sz="4" w:space="0" w:color="000000"/>
            </w:tcBorders>
          </w:tcPr>
          <w:p w:rsidR="00B42EF6" w:rsidRDefault="004565EA">
            <w:pPr>
              <w:pStyle w:val="TableParagraph"/>
              <w:spacing w:before="61"/>
              <w:ind w:left="847"/>
              <w:rPr>
                <w:b/>
                <w:sz w:val="20"/>
              </w:rPr>
            </w:pPr>
            <w:r>
              <w:rPr>
                <w:b/>
                <w:sz w:val="20"/>
              </w:rPr>
              <w:t>214</w:t>
            </w:r>
          </w:p>
        </w:tc>
        <w:tc>
          <w:tcPr>
            <w:tcW w:w="2706" w:type="dxa"/>
            <w:tcBorders>
              <w:bottom w:val="single" w:sz="4" w:space="0" w:color="000000"/>
            </w:tcBorders>
          </w:tcPr>
          <w:p w:rsidR="00B42EF6" w:rsidRDefault="004565EA">
            <w:pPr>
              <w:pStyle w:val="TableParagraph"/>
              <w:spacing w:before="61"/>
              <w:ind w:left="1112" w:right="1052"/>
              <w:jc w:val="center"/>
              <w:rPr>
                <w:b/>
                <w:sz w:val="20"/>
              </w:rPr>
            </w:pPr>
            <w:r>
              <w:rPr>
                <w:b/>
                <w:sz w:val="20"/>
              </w:rPr>
              <w:t>100.0</w:t>
            </w:r>
          </w:p>
        </w:tc>
      </w:tr>
    </w:tbl>
    <w:p w:rsidR="00B42EF6" w:rsidRDefault="00B42EF6">
      <w:pPr>
        <w:pStyle w:val="Textoindependiente"/>
      </w:pPr>
    </w:p>
    <w:p w:rsidR="00B42EF6" w:rsidRDefault="00B42EF6">
      <w:pPr>
        <w:pStyle w:val="Textoindependiente"/>
        <w:spacing w:before="4"/>
        <w:rPr>
          <w:sz w:val="20"/>
        </w:rPr>
      </w:pPr>
    </w:p>
    <w:p w:rsidR="00B42EF6" w:rsidRDefault="004565EA">
      <w:pPr>
        <w:pStyle w:val="Textoindependiente"/>
        <w:spacing w:line="276" w:lineRule="auto"/>
        <w:ind w:left="204" w:right="109"/>
        <w:jc w:val="both"/>
      </w:pPr>
      <w:r>
        <w:t>Respecto a los factores reproductivos se encontró que la media de edad referida de la primer menstruación fue de 13.24 ± 1.6 (IC 95%; 13.0-13.4), con una edad máxima de 18</w:t>
      </w:r>
      <w:r>
        <w:rPr>
          <w:spacing w:val="-3"/>
        </w:rPr>
        <w:t xml:space="preserve"> </w:t>
      </w:r>
      <w:r>
        <w:t>y</w:t>
      </w:r>
      <w:r>
        <w:rPr>
          <w:spacing w:val="-6"/>
        </w:rPr>
        <w:t xml:space="preserve"> </w:t>
      </w:r>
      <w:r>
        <w:t>una</w:t>
      </w:r>
      <w:r>
        <w:rPr>
          <w:spacing w:val="-5"/>
        </w:rPr>
        <w:t xml:space="preserve"> </w:t>
      </w:r>
      <w:r>
        <w:t>mínima</w:t>
      </w:r>
      <w:r>
        <w:rPr>
          <w:spacing w:val="-2"/>
        </w:rPr>
        <w:t xml:space="preserve"> </w:t>
      </w:r>
      <w:r>
        <w:t>de</w:t>
      </w:r>
      <w:r>
        <w:rPr>
          <w:spacing w:val="-2"/>
        </w:rPr>
        <w:t xml:space="preserve"> </w:t>
      </w:r>
      <w:r>
        <w:t>9</w:t>
      </w:r>
      <w:r>
        <w:rPr>
          <w:spacing w:val="-4"/>
        </w:rPr>
        <w:t xml:space="preserve"> </w:t>
      </w:r>
      <w:r>
        <w:t>años.</w:t>
      </w:r>
      <w:r>
        <w:rPr>
          <w:spacing w:val="-2"/>
        </w:rPr>
        <w:t xml:space="preserve"> </w:t>
      </w:r>
      <w:r>
        <w:t>Un</w:t>
      </w:r>
      <w:r>
        <w:rPr>
          <w:spacing w:val="-4"/>
        </w:rPr>
        <w:t xml:space="preserve"> </w:t>
      </w:r>
      <w:r>
        <w:t>40.2%</w:t>
      </w:r>
      <w:r>
        <w:rPr>
          <w:spacing w:val="-5"/>
        </w:rPr>
        <w:t xml:space="preserve"> </w:t>
      </w:r>
      <w:r>
        <w:t>(86/214)</w:t>
      </w:r>
      <w:r>
        <w:rPr>
          <w:spacing w:val="-3"/>
        </w:rPr>
        <w:t xml:space="preserve"> </w:t>
      </w:r>
      <w:r>
        <w:t>de</w:t>
      </w:r>
      <w:r>
        <w:rPr>
          <w:spacing w:val="-3"/>
        </w:rPr>
        <w:t xml:space="preserve"> </w:t>
      </w:r>
      <w:r>
        <w:t>las</w:t>
      </w:r>
      <w:r>
        <w:rPr>
          <w:spacing w:val="-4"/>
        </w:rPr>
        <w:t xml:space="preserve"> </w:t>
      </w:r>
      <w:r>
        <w:t>mujeres</w:t>
      </w:r>
      <w:r>
        <w:rPr>
          <w:spacing w:val="-5"/>
        </w:rPr>
        <w:t xml:space="preserve"> </w:t>
      </w:r>
      <w:r>
        <w:t>tuvieron</w:t>
      </w:r>
      <w:r>
        <w:rPr>
          <w:spacing w:val="-3"/>
        </w:rPr>
        <w:t xml:space="preserve"> </w:t>
      </w:r>
      <w:r>
        <w:t>su</w:t>
      </w:r>
      <w:r>
        <w:rPr>
          <w:spacing w:val="-5"/>
        </w:rPr>
        <w:t xml:space="preserve"> </w:t>
      </w:r>
      <w:r>
        <w:t>menarquía</w:t>
      </w:r>
      <w:r>
        <w:rPr>
          <w:spacing w:val="-1"/>
        </w:rPr>
        <w:t xml:space="preserve"> </w:t>
      </w:r>
      <w:r>
        <w:t>a la</w:t>
      </w:r>
      <w:r>
        <w:rPr>
          <w:spacing w:val="-14"/>
        </w:rPr>
        <w:t xml:space="preserve"> </w:t>
      </w:r>
      <w:r>
        <w:t>edad</w:t>
      </w:r>
      <w:r>
        <w:rPr>
          <w:spacing w:val="-13"/>
        </w:rPr>
        <w:t xml:space="preserve"> </w:t>
      </w:r>
      <w:r>
        <w:t>entre</w:t>
      </w:r>
      <w:r>
        <w:rPr>
          <w:spacing w:val="-15"/>
        </w:rPr>
        <w:t xml:space="preserve"> </w:t>
      </w:r>
      <w:r>
        <w:t>12</w:t>
      </w:r>
      <w:r>
        <w:rPr>
          <w:spacing w:val="-15"/>
        </w:rPr>
        <w:t xml:space="preserve"> </w:t>
      </w:r>
      <w:r>
        <w:t>y</w:t>
      </w:r>
      <w:r>
        <w:rPr>
          <w:spacing w:val="-17"/>
        </w:rPr>
        <w:t xml:space="preserve"> </w:t>
      </w:r>
      <w:r>
        <w:t>13</w:t>
      </w:r>
      <w:r>
        <w:rPr>
          <w:spacing w:val="-12"/>
        </w:rPr>
        <w:t xml:space="preserve"> </w:t>
      </w:r>
      <w:r>
        <w:t>años,</w:t>
      </w:r>
      <w:r>
        <w:rPr>
          <w:spacing w:val="-12"/>
        </w:rPr>
        <w:t xml:space="preserve"> </w:t>
      </w:r>
      <w:r>
        <w:t>30%</w:t>
      </w:r>
      <w:r>
        <w:rPr>
          <w:spacing w:val="-14"/>
        </w:rPr>
        <w:t xml:space="preserve"> </w:t>
      </w:r>
      <w:r>
        <w:t>(64/214)</w:t>
      </w:r>
      <w:r>
        <w:rPr>
          <w:spacing w:val="-14"/>
        </w:rPr>
        <w:t xml:space="preserve"> </w:t>
      </w:r>
      <w:r>
        <w:t>entre</w:t>
      </w:r>
      <w:r>
        <w:rPr>
          <w:spacing w:val="-14"/>
        </w:rPr>
        <w:t xml:space="preserve"> </w:t>
      </w:r>
      <w:r>
        <w:t>14</w:t>
      </w:r>
      <w:r>
        <w:rPr>
          <w:spacing w:val="-17"/>
        </w:rPr>
        <w:t xml:space="preserve"> </w:t>
      </w:r>
      <w:r>
        <w:t>y</w:t>
      </w:r>
      <w:r>
        <w:rPr>
          <w:spacing w:val="-17"/>
        </w:rPr>
        <w:t xml:space="preserve"> </w:t>
      </w:r>
      <w:r>
        <w:t>15</w:t>
      </w:r>
      <w:r>
        <w:rPr>
          <w:spacing w:val="-13"/>
        </w:rPr>
        <w:t xml:space="preserve"> </w:t>
      </w:r>
      <w:r>
        <w:t>años.</w:t>
      </w:r>
      <w:r>
        <w:rPr>
          <w:spacing w:val="-15"/>
        </w:rPr>
        <w:t xml:space="preserve"> </w:t>
      </w:r>
      <w:r>
        <w:t>Y</w:t>
      </w:r>
      <w:r>
        <w:rPr>
          <w:spacing w:val="-15"/>
        </w:rPr>
        <w:t xml:space="preserve"> </w:t>
      </w:r>
      <w:r>
        <w:t>la</w:t>
      </w:r>
      <w:r>
        <w:rPr>
          <w:spacing w:val="-15"/>
        </w:rPr>
        <w:t xml:space="preserve"> </w:t>
      </w:r>
      <w:r>
        <w:t>media</w:t>
      </w:r>
      <w:r>
        <w:rPr>
          <w:spacing w:val="-12"/>
        </w:rPr>
        <w:t xml:space="preserve"> </w:t>
      </w:r>
      <w:r>
        <w:t>de</w:t>
      </w:r>
      <w:r>
        <w:rPr>
          <w:spacing w:val="-17"/>
        </w:rPr>
        <w:t xml:space="preserve"> </w:t>
      </w:r>
      <w:r>
        <w:t>edad</w:t>
      </w:r>
      <w:r>
        <w:rPr>
          <w:spacing w:val="-13"/>
        </w:rPr>
        <w:t xml:space="preserve"> </w:t>
      </w:r>
      <w:r>
        <w:t>referida de</w:t>
      </w:r>
      <w:r>
        <w:rPr>
          <w:spacing w:val="-5"/>
        </w:rPr>
        <w:t xml:space="preserve"> </w:t>
      </w:r>
      <w:r>
        <w:t>la</w:t>
      </w:r>
      <w:r>
        <w:rPr>
          <w:spacing w:val="-5"/>
        </w:rPr>
        <w:t xml:space="preserve"> </w:t>
      </w:r>
      <w:r>
        <w:t>primer</w:t>
      </w:r>
      <w:r>
        <w:rPr>
          <w:spacing w:val="-6"/>
        </w:rPr>
        <w:t xml:space="preserve"> </w:t>
      </w:r>
      <w:r>
        <w:t>embarazo</w:t>
      </w:r>
      <w:r>
        <w:rPr>
          <w:spacing w:val="-9"/>
        </w:rPr>
        <w:t xml:space="preserve"> </w:t>
      </w:r>
      <w:r>
        <w:t>fue</w:t>
      </w:r>
      <w:r>
        <w:rPr>
          <w:spacing w:val="-5"/>
        </w:rPr>
        <w:t xml:space="preserve"> </w:t>
      </w:r>
      <w:r>
        <w:t>de</w:t>
      </w:r>
      <w:r>
        <w:rPr>
          <w:spacing w:val="-8"/>
        </w:rPr>
        <w:t xml:space="preserve"> </w:t>
      </w:r>
      <w:r>
        <w:t>21.02</w:t>
      </w:r>
      <w:r>
        <w:rPr>
          <w:spacing w:val="-10"/>
        </w:rPr>
        <w:t xml:space="preserve"> </w:t>
      </w:r>
      <w:r>
        <w:t>±</w:t>
      </w:r>
      <w:r>
        <w:rPr>
          <w:spacing w:val="-16"/>
        </w:rPr>
        <w:t xml:space="preserve"> </w:t>
      </w:r>
      <w:r>
        <w:t>4.1</w:t>
      </w:r>
      <w:r>
        <w:rPr>
          <w:spacing w:val="-9"/>
        </w:rPr>
        <w:t xml:space="preserve"> </w:t>
      </w:r>
      <w:r>
        <w:t>(IC</w:t>
      </w:r>
      <w:r>
        <w:rPr>
          <w:spacing w:val="-8"/>
        </w:rPr>
        <w:t xml:space="preserve"> </w:t>
      </w:r>
      <w:r>
        <w:t>95%;</w:t>
      </w:r>
      <w:r>
        <w:rPr>
          <w:spacing w:val="-6"/>
        </w:rPr>
        <w:t xml:space="preserve"> </w:t>
      </w:r>
      <w:r>
        <w:t>20.4-21.6),</w:t>
      </w:r>
      <w:r>
        <w:rPr>
          <w:spacing w:val="-6"/>
        </w:rPr>
        <w:t xml:space="preserve"> </w:t>
      </w:r>
      <w:r>
        <w:t>con</w:t>
      </w:r>
      <w:r>
        <w:rPr>
          <w:spacing w:val="-8"/>
        </w:rPr>
        <w:t xml:space="preserve"> </w:t>
      </w:r>
      <w:r>
        <w:t>una</w:t>
      </w:r>
      <w:r>
        <w:rPr>
          <w:spacing w:val="-7"/>
        </w:rPr>
        <w:t xml:space="preserve"> </w:t>
      </w:r>
      <w:r>
        <w:t>edad</w:t>
      </w:r>
      <w:r>
        <w:rPr>
          <w:spacing w:val="-5"/>
        </w:rPr>
        <w:t xml:space="preserve"> </w:t>
      </w:r>
      <w:r>
        <w:t>máxima</w:t>
      </w:r>
      <w:r>
        <w:rPr>
          <w:spacing w:val="-5"/>
        </w:rPr>
        <w:t xml:space="preserve"> </w:t>
      </w:r>
      <w:r>
        <w:t>de 36 años, una mínima de 11 años y mediana de 21 años. 47.7% (102/214)</w:t>
      </w:r>
      <w:r>
        <w:rPr>
          <w:spacing w:val="42"/>
        </w:rPr>
        <w:t xml:space="preserve"> </w:t>
      </w:r>
      <w:r>
        <w:t>refirieron</w:t>
      </w:r>
    </w:p>
    <w:p w:rsidR="00B42EF6" w:rsidRDefault="00B42EF6">
      <w:pPr>
        <w:spacing w:line="276" w:lineRule="auto"/>
        <w:jc w:val="both"/>
        <w:sectPr w:rsidR="00B42EF6">
          <w:headerReference w:type="default" r:id="rId15"/>
          <w:footerReference w:type="default" r:id="rId16"/>
          <w:pgSz w:w="11920" w:h="16850"/>
          <w:pgMar w:top="1300" w:right="1580" w:bottom="920" w:left="1500" w:header="725" w:footer="721" w:gutter="0"/>
          <w:cols w:space="720"/>
        </w:sectPr>
      </w:pPr>
    </w:p>
    <w:p w:rsidR="00B42EF6" w:rsidRDefault="004565EA">
      <w:pPr>
        <w:pStyle w:val="Textoindependiente"/>
        <w:spacing w:before="89" w:line="276" w:lineRule="auto"/>
        <w:ind w:left="202" w:right="115"/>
        <w:jc w:val="both"/>
      </w:pPr>
      <w:r>
        <w:lastRenderedPageBreak/>
        <w:t>haber tenido su primer embarazo entre los 20 y 29 años 28.5% (61/214) entre los 14 a 19</w:t>
      </w:r>
      <w:r>
        <w:rPr>
          <w:spacing w:val="-13"/>
        </w:rPr>
        <w:t xml:space="preserve"> </w:t>
      </w:r>
      <w:r>
        <w:t>años</w:t>
      </w:r>
      <w:r>
        <w:rPr>
          <w:spacing w:val="-11"/>
        </w:rPr>
        <w:t xml:space="preserve"> </w:t>
      </w:r>
      <w:r>
        <w:t>y</w:t>
      </w:r>
      <w:r>
        <w:rPr>
          <w:spacing w:val="-16"/>
        </w:rPr>
        <w:t xml:space="preserve"> </w:t>
      </w:r>
      <w:r>
        <w:t>sólo</w:t>
      </w:r>
      <w:r>
        <w:rPr>
          <w:spacing w:val="-12"/>
        </w:rPr>
        <w:t xml:space="preserve"> </w:t>
      </w:r>
      <w:r>
        <w:t>2.8%</w:t>
      </w:r>
      <w:r>
        <w:rPr>
          <w:spacing w:val="-12"/>
        </w:rPr>
        <w:t xml:space="preserve"> </w:t>
      </w:r>
      <w:r>
        <w:t>(6/214)</w:t>
      </w:r>
      <w:r>
        <w:rPr>
          <w:spacing w:val="37"/>
        </w:rPr>
        <w:t xml:space="preserve"> </w:t>
      </w:r>
      <w:r>
        <w:t>pasado</w:t>
      </w:r>
      <w:r>
        <w:rPr>
          <w:spacing w:val="-13"/>
        </w:rPr>
        <w:t xml:space="preserve"> </w:t>
      </w:r>
      <w:r>
        <w:t>los</w:t>
      </w:r>
      <w:r>
        <w:rPr>
          <w:spacing w:val="-14"/>
        </w:rPr>
        <w:t xml:space="preserve"> </w:t>
      </w:r>
      <w:r>
        <w:t>30</w:t>
      </w:r>
      <w:r>
        <w:rPr>
          <w:spacing w:val="-14"/>
        </w:rPr>
        <w:t xml:space="preserve"> </w:t>
      </w:r>
      <w:r>
        <w:t>años.</w:t>
      </w:r>
      <w:r>
        <w:rPr>
          <w:spacing w:val="-15"/>
        </w:rPr>
        <w:t xml:space="preserve"> </w:t>
      </w:r>
      <w:r>
        <w:t>El</w:t>
      </w:r>
      <w:r>
        <w:rPr>
          <w:spacing w:val="-12"/>
        </w:rPr>
        <w:t xml:space="preserve"> </w:t>
      </w:r>
      <w:r>
        <w:t>70.1%</w:t>
      </w:r>
      <w:r>
        <w:rPr>
          <w:spacing w:val="-16"/>
        </w:rPr>
        <w:t xml:space="preserve"> </w:t>
      </w:r>
      <w:r>
        <w:t>(150/214)</w:t>
      </w:r>
      <w:r>
        <w:rPr>
          <w:spacing w:val="-12"/>
        </w:rPr>
        <w:t xml:space="preserve"> </w:t>
      </w:r>
      <w:r>
        <w:t>de</w:t>
      </w:r>
      <w:r>
        <w:rPr>
          <w:spacing w:val="-12"/>
        </w:rPr>
        <w:t xml:space="preserve"> </w:t>
      </w:r>
      <w:r>
        <w:t>las</w:t>
      </w:r>
      <w:r>
        <w:rPr>
          <w:spacing w:val="-11"/>
        </w:rPr>
        <w:t xml:space="preserve"> </w:t>
      </w:r>
      <w:r>
        <w:rPr>
          <w:spacing w:val="-3"/>
        </w:rPr>
        <w:t xml:space="preserve">participantes </w:t>
      </w:r>
      <w:r>
        <w:t xml:space="preserve">son multíparas, 14% (30/214) ha tenido sólo un hijo, y 9.8% (21/201) más de cuatro </w:t>
      </w:r>
      <w:r>
        <w:t>hijos, gran multíparas; el 57% (122/214) de las mujeres participantes en el estudio refieren usar anticonceptivos, mientras que el 43% (92/214) no usan anticonceptivos (véase tabla N°</w:t>
      </w:r>
      <w:r>
        <w:rPr>
          <w:spacing w:val="-7"/>
        </w:rPr>
        <w:t xml:space="preserve"> </w:t>
      </w:r>
      <w:r>
        <w:t>2).</w:t>
      </w:r>
    </w:p>
    <w:p w:rsidR="00B42EF6" w:rsidRDefault="00B42EF6">
      <w:pPr>
        <w:pStyle w:val="Textoindependiente"/>
        <w:rPr>
          <w:sz w:val="24"/>
        </w:rPr>
      </w:pPr>
    </w:p>
    <w:p w:rsidR="00B42EF6" w:rsidRDefault="004565EA">
      <w:pPr>
        <w:spacing w:before="186"/>
        <w:ind w:left="2895"/>
        <w:rPr>
          <w:sz w:val="20"/>
        </w:rPr>
      </w:pPr>
      <w:r>
        <w:rPr>
          <w:b/>
          <w:sz w:val="20"/>
        </w:rPr>
        <w:t>Tabla N</w:t>
      </w:r>
      <w:r>
        <w:rPr>
          <w:b/>
          <w:position w:val="7"/>
          <w:sz w:val="13"/>
        </w:rPr>
        <w:t xml:space="preserve">o </w:t>
      </w:r>
      <w:r>
        <w:rPr>
          <w:b/>
          <w:sz w:val="20"/>
        </w:rPr>
        <w:t xml:space="preserve">2. </w:t>
      </w:r>
      <w:r>
        <w:rPr>
          <w:sz w:val="20"/>
        </w:rPr>
        <w:t>Factores reproductivos</w:t>
      </w:r>
    </w:p>
    <w:p w:rsidR="00B42EF6" w:rsidRDefault="00B42EF6">
      <w:pPr>
        <w:pStyle w:val="Textoindependiente"/>
        <w:spacing w:before="7"/>
        <w:rPr>
          <w:sz w:val="21"/>
        </w:rPr>
      </w:pPr>
    </w:p>
    <w:tbl>
      <w:tblPr>
        <w:tblStyle w:val="TableNormal"/>
        <w:tblW w:w="0" w:type="auto"/>
        <w:tblInd w:w="176" w:type="dxa"/>
        <w:tblLayout w:type="fixed"/>
        <w:tblLook w:val="01E0" w:firstRow="1" w:lastRow="1" w:firstColumn="1" w:lastColumn="1" w:noHBand="0" w:noVBand="0"/>
      </w:tblPr>
      <w:tblGrid>
        <w:gridCol w:w="4143"/>
        <w:gridCol w:w="3261"/>
        <w:gridCol w:w="1125"/>
      </w:tblGrid>
      <w:tr w:rsidR="00B42EF6">
        <w:trPr>
          <w:trHeight w:val="455"/>
        </w:trPr>
        <w:tc>
          <w:tcPr>
            <w:tcW w:w="4143" w:type="dxa"/>
            <w:tcBorders>
              <w:top w:val="single" w:sz="4" w:space="0" w:color="000000"/>
              <w:bottom w:val="single" w:sz="4" w:space="0" w:color="000000"/>
            </w:tcBorders>
          </w:tcPr>
          <w:p w:rsidR="00B42EF6" w:rsidRDefault="00B42EF6">
            <w:pPr>
              <w:pStyle w:val="TableParagraph"/>
              <w:rPr>
                <w:rFonts w:ascii="Times New Roman"/>
                <w:sz w:val="20"/>
              </w:rPr>
            </w:pPr>
          </w:p>
        </w:tc>
        <w:tc>
          <w:tcPr>
            <w:tcW w:w="3261" w:type="dxa"/>
            <w:tcBorders>
              <w:top w:val="single" w:sz="4" w:space="0" w:color="000000"/>
              <w:bottom w:val="single" w:sz="4" w:space="0" w:color="000000"/>
            </w:tcBorders>
          </w:tcPr>
          <w:p w:rsidR="00B42EF6" w:rsidRDefault="004565EA">
            <w:pPr>
              <w:pStyle w:val="TableParagraph"/>
              <w:spacing w:before="102"/>
              <w:ind w:left="100" w:right="386"/>
              <w:jc w:val="center"/>
              <w:rPr>
                <w:b/>
                <w:sz w:val="20"/>
              </w:rPr>
            </w:pPr>
            <w:r>
              <w:rPr>
                <w:b/>
                <w:sz w:val="20"/>
              </w:rPr>
              <w:t>Característica más frecuente</w:t>
            </w:r>
          </w:p>
        </w:tc>
        <w:tc>
          <w:tcPr>
            <w:tcW w:w="1125" w:type="dxa"/>
            <w:tcBorders>
              <w:top w:val="single" w:sz="4" w:space="0" w:color="000000"/>
              <w:bottom w:val="single" w:sz="4" w:space="0" w:color="000000"/>
            </w:tcBorders>
          </w:tcPr>
          <w:p w:rsidR="00B42EF6" w:rsidRDefault="004565EA">
            <w:pPr>
              <w:pStyle w:val="TableParagraph"/>
              <w:spacing w:before="102"/>
              <w:ind w:left="80"/>
              <w:jc w:val="center"/>
              <w:rPr>
                <w:b/>
                <w:sz w:val="20"/>
              </w:rPr>
            </w:pPr>
            <w:r>
              <w:rPr>
                <w:b/>
                <w:w w:val="97"/>
                <w:sz w:val="20"/>
              </w:rPr>
              <w:t>%</w:t>
            </w:r>
          </w:p>
        </w:tc>
      </w:tr>
      <w:tr w:rsidR="00B42EF6">
        <w:trPr>
          <w:trHeight w:val="297"/>
        </w:trPr>
        <w:tc>
          <w:tcPr>
            <w:tcW w:w="4143" w:type="dxa"/>
            <w:tcBorders>
              <w:top w:val="single" w:sz="4" w:space="0" w:color="000000"/>
            </w:tcBorders>
          </w:tcPr>
          <w:p w:rsidR="00B42EF6" w:rsidRDefault="004565EA">
            <w:pPr>
              <w:pStyle w:val="TableParagraph"/>
              <w:spacing w:before="30"/>
              <w:ind w:left="784" w:right="960"/>
              <w:jc w:val="center"/>
              <w:rPr>
                <w:sz w:val="20"/>
              </w:rPr>
            </w:pPr>
            <w:r>
              <w:rPr>
                <w:sz w:val="20"/>
              </w:rPr>
              <w:t>Edad de Menarquía</w:t>
            </w:r>
          </w:p>
        </w:tc>
        <w:tc>
          <w:tcPr>
            <w:tcW w:w="3261" w:type="dxa"/>
            <w:tcBorders>
              <w:top w:val="single" w:sz="4" w:space="0" w:color="000000"/>
            </w:tcBorders>
          </w:tcPr>
          <w:p w:rsidR="00B42EF6" w:rsidRDefault="004565EA">
            <w:pPr>
              <w:pStyle w:val="TableParagraph"/>
              <w:spacing w:before="30"/>
              <w:ind w:left="96" w:right="386"/>
              <w:jc w:val="center"/>
              <w:rPr>
                <w:sz w:val="20"/>
              </w:rPr>
            </w:pPr>
            <w:r>
              <w:rPr>
                <w:sz w:val="20"/>
              </w:rPr>
              <w:t>12-13 años</w:t>
            </w:r>
          </w:p>
        </w:tc>
        <w:tc>
          <w:tcPr>
            <w:tcW w:w="1125" w:type="dxa"/>
            <w:tcBorders>
              <w:top w:val="single" w:sz="4" w:space="0" w:color="000000"/>
            </w:tcBorders>
          </w:tcPr>
          <w:p w:rsidR="00B42EF6" w:rsidRDefault="004565EA">
            <w:pPr>
              <w:pStyle w:val="TableParagraph"/>
              <w:spacing w:before="30"/>
              <w:ind w:left="386" w:right="309"/>
              <w:jc w:val="center"/>
              <w:rPr>
                <w:sz w:val="20"/>
              </w:rPr>
            </w:pPr>
            <w:r>
              <w:rPr>
                <w:sz w:val="20"/>
              </w:rPr>
              <w:t>40.2</w:t>
            </w:r>
          </w:p>
        </w:tc>
      </w:tr>
      <w:tr w:rsidR="00B42EF6">
        <w:trPr>
          <w:trHeight w:val="282"/>
        </w:trPr>
        <w:tc>
          <w:tcPr>
            <w:tcW w:w="4143" w:type="dxa"/>
          </w:tcPr>
          <w:p w:rsidR="00B42EF6" w:rsidRDefault="004565EA">
            <w:pPr>
              <w:pStyle w:val="TableParagraph"/>
              <w:spacing w:before="30"/>
              <w:ind w:left="784" w:right="961"/>
              <w:jc w:val="center"/>
              <w:rPr>
                <w:sz w:val="20"/>
              </w:rPr>
            </w:pPr>
            <w:r>
              <w:rPr>
                <w:sz w:val="20"/>
              </w:rPr>
              <w:t>Edad del primer embarazo</w:t>
            </w:r>
          </w:p>
        </w:tc>
        <w:tc>
          <w:tcPr>
            <w:tcW w:w="3261" w:type="dxa"/>
          </w:tcPr>
          <w:p w:rsidR="00B42EF6" w:rsidRDefault="004565EA">
            <w:pPr>
              <w:pStyle w:val="TableParagraph"/>
              <w:spacing w:before="30"/>
              <w:ind w:left="96" w:right="386"/>
              <w:jc w:val="center"/>
              <w:rPr>
                <w:sz w:val="20"/>
              </w:rPr>
            </w:pPr>
            <w:r>
              <w:rPr>
                <w:sz w:val="20"/>
              </w:rPr>
              <w:t>20-29 años</w:t>
            </w:r>
          </w:p>
        </w:tc>
        <w:tc>
          <w:tcPr>
            <w:tcW w:w="1125" w:type="dxa"/>
          </w:tcPr>
          <w:p w:rsidR="00B42EF6" w:rsidRDefault="004565EA">
            <w:pPr>
              <w:pStyle w:val="TableParagraph"/>
              <w:spacing w:before="30"/>
              <w:ind w:left="386" w:right="309"/>
              <w:jc w:val="center"/>
              <w:rPr>
                <w:sz w:val="20"/>
              </w:rPr>
            </w:pPr>
            <w:r>
              <w:rPr>
                <w:sz w:val="20"/>
              </w:rPr>
              <w:t>47.7</w:t>
            </w:r>
          </w:p>
        </w:tc>
      </w:tr>
      <w:tr w:rsidR="00B42EF6">
        <w:trPr>
          <w:trHeight w:val="267"/>
        </w:trPr>
        <w:tc>
          <w:tcPr>
            <w:tcW w:w="4143" w:type="dxa"/>
          </w:tcPr>
          <w:p w:rsidR="00B42EF6" w:rsidRDefault="004565EA">
            <w:pPr>
              <w:pStyle w:val="TableParagraph"/>
              <w:spacing w:before="15"/>
              <w:ind w:left="784" w:right="953"/>
              <w:jc w:val="center"/>
              <w:rPr>
                <w:sz w:val="20"/>
              </w:rPr>
            </w:pPr>
            <w:r>
              <w:rPr>
                <w:sz w:val="20"/>
              </w:rPr>
              <w:t>Paridad</w:t>
            </w:r>
          </w:p>
        </w:tc>
        <w:tc>
          <w:tcPr>
            <w:tcW w:w="3261" w:type="dxa"/>
          </w:tcPr>
          <w:p w:rsidR="00B42EF6" w:rsidRDefault="004565EA">
            <w:pPr>
              <w:pStyle w:val="TableParagraph"/>
              <w:spacing w:before="15"/>
              <w:ind w:left="97" w:right="386"/>
              <w:jc w:val="center"/>
              <w:rPr>
                <w:sz w:val="20"/>
              </w:rPr>
            </w:pPr>
            <w:r>
              <w:rPr>
                <w:sz w:val="20"/>
              </w:rPr>
              <w:t>Multípara</w:t>
            </w:r>
          </w:p>
        </w:tc>
        <w:tc>
          <w:tcPr>
            <w:tcW w:w="1125" w:type="dxa"/>
          </w:tcPr>
          <w:p w:rsidR="00B42EF6" w:rsidRDefault="004565EA">
            <w:pPr>
              <w:pStyle w:val="TableParagraph"/>
              <w:spacing w:before="15"/>
              <w:ind w:left="386" w:right="309"/>
              <w:jc w:val="center"/>
              <w:rPr>
                <w:sz w:val="20"/>
              </w:rPr>
            </w:pPr>
            <w:r>
              <w:rPr>
                <w:sz w:val="20"/>
              </w:rPr>
              <w:t>70.1</w:t>
            </w:r>
          </w:p>
        </w:tc>
      </w:tr>
      <w:tr w:rsidR="00B42EF6">
        <w:trPr>
          <w:trHeight w:val="296"/>
        </w:trPr>
        <w:tc>
          <w:tcPr>
            <w:tcW w:w="4143" w:type="dxa"/>
            <w:tcBorders>
              <w:bottom w:val="single" w:sz="4" w:space="0" w:color="000000"/>
            </w:tcBorders>
          </w:tcPr>
          <w:p w:rsidR="00B42EF6" w:rsidRDefault="004565EA">
            <w:pPr>
              <w:pStyle w:val="TableParagraph"/>
              <w:spacing w:before="16"/>
              <w:ind w:left="784" w:right="961"/>
              <w:jc w:val="center"/>
              <w:rPr>
                <w:sz w:val="20"/>
              </w:rPr>
            </w:pPr>
            <w:r>
              <w:rPr>
                <w:sz w:val="20"/>
              </w:rPr>
              <w:t>Uso de anticonceptivo</w:t>
            </w:r>
          </w:p>
        </w:tc>
        <w:tc>
          <w:tcPr>
            <w:tcW w:w="3261" w:type="dxa"/>
            <w:tcBorders>
              <w:bottom w:val="single" w:sz="4" w:space="0" w:color="000000"/>
            </w:tcBorders>
          </w:tcPr>
          <w:p w:rsidR="00B42EF6" w:rsidRDefault="004565EA">
            <w:pPr>
              <w:pStyle w:val="TableParagraph"/>
              <w:spacing w:before="16"/>
              <w:ind w:left="100" w:right="386"/>
              <w:jc w:val="center"/>
              <w:rPr>
                <w:sz w:val="20"/>
              </w:rPr>
            </w:pPr>
            <w:r>
              <w:rPr>
                <w:sz w:val="20"/>
              </w:rPr>
              <w:t>No usan</w:t>
            </w:r>
          </w:p>
        </w:tc>
        <w:tc>
          <w:tcPr>
            <w:tcW w:w="1125" w:type="dxa"/>
            <w:tcBorders>
              <w:bottom w:val="single" w:sz="4" w:space="0" w:color="000000"/>
            </w:tcBorders>
          </w:tcPr>
          <w:p w:rsidR="00B42EF6" w:rsidRDefault="004565EA">
            <w:pPr>
              <w:pStyle w:val="TableParagraph"/>
              <w:spacing w:before="16"/>
              <w:ind w:left="384" w:right="309"/>
              <w:jc w:val="center"/>
              <w:rPr>
                <w:sz w:val="20"/>
              </w:rPr>
            </w:pPr>
            <w:r>
              <w:rPr>
                <w:sz w:val="20"/>
              </w:rPr>
              <w:t>57</w:t>
            </w:r>
          </w:p>
        </w:tc>
      </w:tr>
    </w:tbl>
    <w:p w:rsidR="00B42EF6" w:rsidRDefault="00B42EF6">
      <w:pPr>
        <w:pStyle w:val="Textoindependiente"/>
        <w:spacing w:before="7"/>
        <w:rPr>
          <w:sz w:val="19"/>
        </w:rPr>
      </w:pPr>
    </w:p>
    <w:p w:rsidR="00B42EF6" w:rsidRDefault="004565EA">
      <w:pPr>
        <w:pStyle w:val="Textoindependiente"/>
        <w:spacing w:line="276" w:lineRule="auto"/>
        <w:ind w:left="202" w:right="109"/>
        <w:jc w:val="both"/>
      </w:pPr>
      <w:r>
        <w:t>Respecto a los factores de salud sexual se encontró que la media de edad referida de la</w:t>
      </w:r>
      <w:r>
        <w:rPr>
          <w:spacing w:val="-5"/>
        </w:rPr>
        <w:t xml:space="preserve"> </w:t>
      </w:r>
      <w:r>
        <w:t>primera</w:t>
      </w:r>
      <w:r>
        <w:rPr>
          <w:spacing w:val="-7"/>
        </w:rPr>
        <w:t xml:space="preserve"> </w:t>
      </w:r>
      <w:r>
        <w:t>relación</w:t>
      </w:r>
      <w:r>
        <w:rPr>
          <w:spacing w:val="-5"/>
        </w:rPr>
        <w:t xml:space="preserve"> </w:t>
      </w:r>
      <w:r>
        <w:t>sexual</w:t>
      </w:r>
      <w:r>
        <w:rPr>
          <w:spacing w:val="-10"/>
        </w:rPr>
        <w:t xml:space="preserve"> </w:t>
      </w:r>
      <w:r>
        <w:t>fue</w:t>
      </w:r>
      <w:r>
        <w:rPr>
          <w:spacing w:val="-8"/>
        </w:rPr>
        <w:t xml:space="preserve"> </w:t>
      </w:r>
      <w:r>
        <w:t>de</w:t>
      </w:r>
      <w:r>
        <w:rPr>
          <w:spacing w:val="-4"/>
        </w:rPr>
        <w:t xml:space="preserve"> </w:t>
      </w:r>
      <w:r>
        <w:t>19.31</w:t>
      </w:r>
      <w:r>
        <w:rPr>
          <w:spacing w:val="-9"/>
        </w:rPr>
        <w:t xml:space="preserve"> </w:t>
      </w:r>
      <w:r>
        <w:t>±</w:t>
      </w:r>
      <w:r>
        <w:rPr>
          <w:spacing w:val="-16"/>
        </w:rPr>
        <w:t xml:space="preserve"> </w:t>
      </w:r>
      <w:r>
        <w:t>3.7</w:t>
      </w:r>
      <w:r>
        <w:rPr>
          <w:spacing w:val="-9"/>
        </w:rPr>
        <w:t xml:space="preserve"> </w:t>
      </w:r>
      <w:r>
        <w:t>(IC</w:t>
      </w:r>
      <w:r>
        <w:rPr>
          <w:spacing w:val="-8"/>
        </w:rPr>
        <w:t xml:space="preserve"> </w:t>
      </w:r>
      <w:r>
        <w:t>95%;</w:t>
      </w:r>
      <w:r>
        <w:rPr>
          <w:spacing w:val="-5"/>
        </w:rPr>
        <w:t xml:space="preserve"> </w:t>
      </w:r>
      <w:r>
        <w:t>18.7-19.8),</w:t>
      </w:r>
      <w:r>
        <w:rPr>
          <w:spacing w:val="-8"/>
        </w:rPr>
        <w:t xml:space="preserve"> </w:t>
      </w:r>
      <w:r>
        <w:t>con</w:t>
      </w:r>
      <w:r>
        <w:rPr>
          <w:spacing w:val="-4"/>
        </w:rPr>
        <w:t xml:space="preserve"> </w:t>
      </w:r>
      <w:r>
        <w:t>una</w:t>
      </w:r>
      <w:r>
        <w:rPr>
          <w:spacing w:val="-12"/>
        </w:rPr>
        <w:t xml:space="preserve"> </w:t>
      </w:r>
      <w:r>
        <w:t>edad</w:t>
      </w:r>
      <w:r>
        <w:rPr>
          <w:spacing w:val="-8"/>
        </w:rPr>
        <w:t xml:space="preserve"> </w:t>
      </w:r>
      <w:r>
        <w:t>máxima de 36, una mínima de 13 años y mediana de 18 años. 53.7% (115/214) refirieron haber tenido</w:t>
      </w:r>
      <w:r>
        <w:rPr>
          <w:spacing w:val="-6"/>
        </w:rPr>
        <w:t xml:space="preserve"> </w:t>
      </w:r>
      <w:r>
        <w:t>su</w:t>
      </w:r>
      <w:r>
        <w:rPr>
          <w:spacing w:val="-5"/>
        </w:rPr>
        <w:t xml:space="preserve"> </w:t>
      </w:r>
      <w:r>
        <w:t>primera</w:t>
      </w:r>
      <w:r>
        <w:rPr>
          <w:spacing w:val="-8"/>
        </w:rPr>
        <w:t xml:space="preserve"> </w:t>
      </w:r>
      <w:r>
        <w:t>relación</w:t>
      </w:r>
      <w:r>
        <w:rPr>
          <w:spacing w:val="-4"/>
        </w:rPr>
        <w:t xml:space="preserve"> </w:t>
      </w:r>
      <w:r>
        <w:t>sexual</w:t>
      </w:r>
      <w:r>
        <w:rPr>
          <w:spacing w:val="-6"/>
        </w:rPr>
        <w:t xml:space="preserve"> </w:t>
      </w:r>
      <w:r>
        <w:t>entre</w:t>
      </w:r>
      <w:r>
        <w:rPr>
          <w:spacing w:val="-5"/>
        </w:rPr>
        <w:t xml:space="preserve"> </w:t>
      </w:r>
      <w:r>
        <w:t>los</w:t>
      </w:r>
      <w:r>
        <w:rPr>
          <w:spacing w:val="-4"/>
        </w:rPr>
        <w:t xml:space="preserve"> </w:t>
      </w:r>
      <w:r>
        <w:t>14</w:t>
      </w:r>
      <w:r>
        <w:rPr>
          <w:spacing w:val="-5"/>
        </w:rPr>
        <w:t xml:space="preserve"> </w:t>
      </w:r>
      <w:r>
        <w:t>y</w:t>
      </w:r>
      <w:r>
        <w:rPr>
          <w:spacing w:val="-7"/>
        </w:rPr>
        <w:t xml:space="preserve"> </w:t>
      </w:r>
      <w:r>
        <w:t>19</w:t>
      </w:r>
      <w:r>
        <w:rPr>
          <w:spacing w:val="-2"/>
        </w:rPr>
        <w:t xml:space="preserve"> </w:t>
      </w:r>
      <w:r>
        <w:t>años.</w:t>
      </w:r>
      <w:r>
        <w:rPr>
          <w:spacing w:val="-7"/>
        </w:rPr>
        <w:t xml:space="preserve"> </w:t>
      </w:r>
      <w:r>
        <w:t>35%</w:t>
      </w:r>
      <w:r>
        <w:rPr>
          <w:spacing w:val="-7"/>
        </w:rPr>
        <w:t xml:space="preserve"> </w:t>
      </w:r>
      <w:r>
        <w:t>(75/214)</w:t>
      </w:r>
      <w:r>
        <w:rPr>
          <w:spacing w:val="-5"/>
        </w:rPr>
        <w:t xml:space="preserve"> </w:t>
      </w:r>
      <w:r>
        <w:t>entre</w:t>
      </w:r>
      <w:r>
        <w:rPr>
          <w:spacing w:val="-5"/>
        </w:rPr>
        <w:t xml:space="preserve"> </w:t>
      </w:r>
      <w:r>
        <w:t>los</w:t>
      </w:r>
      <w:r>
        <w:rPr>
          <w:spacing w:val="-3"/>
        </w:rPr>
        <w:t xml:space="preserve"> </w:t>
      </w:r>
      <w:r>
        <w:t>20</w:t>
      </w:r>
      <w:r>
        <w:rPr>
          <w:spacing w:val="-7"/>
        </w:rPr>
        <w:t xml:space="preserve"> </w:t>
      </w:r>
      <w:r>
        <w:t>y</w:t>
      </w:r>
      <w:r>
        <w:rPr>
          <w:spacing w:val="-7"/>
        </w:rPr>
        <w:t xml:space="preserve"> </w:t>
      </w:r>
      <w:r>
        <w:t>29 años y sólo 0.5% (1/214) a los 13 años, y 2.8% (6/214) a los 30 y más años; la media del número de parejas sexuales referida por las participantes en el estudio fue de</w:t>
      </w:r>
      <w:r>
        <w:rPr>
          <w:spacing w:val="42"/>
        </w:rPr>
        <w:t xml:space="preserve"> </w:t>
      </w:r>
      <w:r>
        <w:t>1.36</w:t>
      </w:r>
    </w:p>
    <w:p w:rsidR="00B42EF6" w:rsidRDefault="004565EA">
      <w:pPr>
        <w:pStyle w:val="Textoindependiente"/>
        <w:spacing w:line="276" w:lineRule="auto"/>
        <w:ind w:left="202" w:right="112"/>
        <w:jc w:val="both"/>
      </w:pPr>
      <w:r>
        <w:t>±</w:t>
      </w:r>
      <w:r>
        <w:rPr>
          <w:spacing w:val="-14"/>
        </w:rPr>
        <w:t xml:space="preserve"> </w:t>
      </w:r>
      <w:r>
        <w:t>0.57</w:t>
      </w:r>
      <w:r>
        <w:rPr>
          <w:spacing w:val="-7"/>
        </w:rPr>
        <w:t xml:space="preserve"> </w:t>
      </w:r>
      <w:r>
        <w:t>(IC</w:t>
      </w:r>
      <w:r>
        <w:rPr>
          <w:spacing w:val="-2"/>
        </w:rPr>
        <w:t xml:space="preserve"> </w:t>
      </w:r>
      <w:r>
        <w:t>95%;</w:t>
      </w:r>
      <w:r>
        <w:rPr>
          <w:spacing w:val="-3"/>
        </w:rPr>
        <w:t xml:space="preserve"> </w:t>
      </w:r>
      <w:r>
        <w:t>1.27-1.44),</w:t>
      </w:r>
      <w:r>
        <w:rPr>
          <w:spacing w:val="-2"/>
        </w:rPr>
        <w:t xml:space="preserve"> </w:t>
      </w:r>
      <w:r>
        <w:t>con</w:t>
      </w:r>
      <w:r>
        <w:rPr>
          <w:spacing w:val="-6"/>
        </w:rPr>
        <w:t xml:space="preserve"> </w:t>
      </w:r>
      <w:r>
        <w:t>una</w:t>
      </w:r>
      <w:r>
        <w:rPr>
          <w:spacing w:val="-4"/>
        </w:rPr>
        <w:t xml:space="preserve"> </w:t>
      </w:r>
      <w:r>
        <w:t>edad</w:t>
      </w:r>
      <w:r>
        <w:rPr>
          <w:spacing w:val="-7"/>
        </w:rPr>
        <w:t xml:space="preserve"> </w:t>
      </w:r>
      <w:r>
        <w:t>máxima</w:t>
      </w:r>
      <w:r>
        <w:rPr>
          <w:spacing w:val="-3"/>
        </w:rPr>
        <w:t xml:space="preserve"> </w:t>
      </w:r>
      <w:r>
        <w:t>de</w:t>
      </w:r>
      <w:r>
        <w:rPr>
          <w:spacing w:val="-2"/>
        </w:rPr>
        <w:t xml:space="preserve"> </w:t>
      </w:r>
      <w:r>
        <w:t>3,</w:t>
      </w:r>
      <w:r>
        <w:rPr>
          <w:spacing w:val="-3"/>
        </w:rPr>
        <w:t xml:space="preserve"> </w:t>
      </w:r>
      <w:r>
        <w:t>una</w:t>
      </w:r>
      <w:r>
        <w:rPr>
          <w:spacing w:val="-8"/>
        </w:rPr>
        <w:t xml:space="preserve"> </w:t>
      </w:r>
      <w:r>
        <w:t>mínima</w:t>
      </w:r>
      <w:r>
        <w:rPr>
          <w:spacing w:val="-3"/>
        </w:rPr>
        <w:t xml:space="preserve"> </w:t>
      </w:r>
      <w:r>
        <w:t>de</w:t>
      </w:r>
      <w:r>
        <w:rPr>
          <w:spacing w:val="-2"/>
        </w:rPr>
        <w:t xml:space="preserve"> </w:t>
      </w:r>
      <w:r>
        <w:t>1,</w:t>
      </w:r>
      <w:r>
        <w:rPr>
          <w:spacing w:val="-5"/>
        </w:rPr>
        <w:t xml:space="preserve"> </w:t>
      </w:r>
      <w:r>
        <w:t>y</w:t>
      </w:r>
      <w:r>
        <w:rPr>
          <w:spacing w:val="-6"/>
        </w:rPr>
        <w:t xml:space="preserve"> </w:t>
      </w:r>
      <w:r>
        <w:t>mediana</w:t>
      </w:r>
      <w:r>
        <w:rPr>
          <w:spacing w:val="-4"/>
        </w:rPr>
        <w:t xml:space="preserve"> </w:t>
      </w:r>
      <w:r>
        <w:t>de 1 pareja sexual. El 69.3% (122/176) refirieron haber tenido una pareja sexual. 21% (45/176) dos parejas y sólo 4.2% (9/177) tres parejas sexuales. Mientras que 17.8% (38/214)</w:t>
      </w:r>
      <w:r>
        <w:rPr>
          <w:spacing w:val="-7"/>
        </w:rPr>
        <w:t xml:space="preserve"> </w:t>
      </w:r>
      <w:r>
        <w:t>no</w:t>
      </w:r>
      <w:r>
        <w:rPr>
          <w:spacing w:val="-13"/>
        </w:rPr>
        <w:t xml:space="preserve"> </w:t>
      </w:r>
      <w:r>
        <w:t>respondió</w:t>
      </w:r>
      <w:r>
        <w:rPr>
          <w:spacing w:val="-10"/>
        </w:rPr>
        <w:t xml:space="preserve"> </w:t>
      </w:r>
      <w:r>
        <w:t>a</w:t>
      </w:r>
      <w:r>
        <w:rPr>
          <w:spacing w:val="-10"/>
        </w:rPr>
        <w:t xml:space="preserve"> </w:t>
      </w:r>
      <w:r>
        <w:t>esta</w:t>
      </w:r>
      <w:r>
        <w:rPr>
          <w:spacing w:val="-10"/>
        </w:rPr>
        <w:t xml:space="preserve"> </w:t>
      </w:r>
      <w:r>
        <w:t>interrogante;</w:t>
      </w:r>
      <w:r>
        <w:rPr>
          <w:spacing w:val="-8"/>
        </w:rPr>
        <w:t xml:space="preserve"> </w:t>
      </w:r>
      <w:r>
        <w:t>con</w:t>
      </w:r>
      <w:r>
        <w:rPr>
          <w:spacing w:val="-13"/>
        </w:rPr>
        <w:t xml:space="preserve"> </w:t>
      </w:r>
      <w:r>
        <w:t>respecto</w:t>
      </w:r>
      <w:r>
        <w:rPr>
          <w:spacing w:val="-10"/>
        </w:rPr>
        <w:t xml:space="preserve"> </w:t>
      </w:r>
      <w:r>
        <w:t>a</w:t>
      </w:r>
      <w:r>
        <w:rPr>
          <w:spacing w:val="-10"/>
        </w:rPr>
        <w:t xml:space="preserve"> </w:t>
      </w:r>
      <w:r>
        <w:t>las</w:t>
      </w:r>
      <w:r>
        <w:rPr>
          <w:spacing w:val="-10"/>
        </w:rPr>
        <w:t xml:space="preserve"> </w:t>
      </w:r>
      <w:r>
        <w:t>infecciones</w:t>
      </w:r>
      <w:r>
        <w:rPr>
          <w:spacing w:val="-11"/>
        </w:rPr>
        <w:t xml:space="preserve"> </w:t>
      </w:r>
      <w:r>
        <w:t>de</w:t>
      </w:r>
      <w:r>
        <w:rPr>
          <w:spacing w:val="-10"/>
        </w:rPr>
        <w:t xml:space="preserve"> </w:t>
      </w:r>
      <w:r>
        <w:t>transmisi</w:t>
      </w:r>
      <w:r>
        <w:t>ón sexual se encontró que el 77.1% (165/214) de las mujeres participantes en el estudio refieren no haber tenido infecciones de trasmisión sexual, mientras que 22.9% (49/214) si lo han</w:t>
      </w:r>
      <w:r>
        <w:rPr>
          <w:spacing w:val="-3"/>
        </w:rPr>
        <w:t xml:space="preserve"> </w:t>
      </w:r>
      <w:r>
        <w:t>padecido.</w:t>
      </w:r>
    </w:p>
    <w:p w:rsidR="00B42EF6" w:rsidRDefault="004565EA">
      <w:pPr>
        <w:spacing w:line="226" w:lineRule="exact"/>
        <w:ind w:left="2801"/>
        <w:rPr>
          <w:sz w:val="20"/>
        </w:rPr>
      </w:pPr>
      <w:r>
        <w:rPr>
          <w:b/>
          <w:sz w:val="20"/>
        </w:rPr>
        <w:t>Tabla N</w:t>
      </w:r>
      <w:r>
        <w:rPr>
          <w:b/>
          <w:position w:val="7"/>
          <w:sz w:val="13"/>
        </w:rPr>
        <w:t xml:space="preserve">o </w:t>
      </w:r>
      <w:r>
        <w:rPr>
          <w:b/>
          <w:sz w:val="20"/>
        </w:rPr>
        <w:t xml:space="preserve">3. </w:t>
      </w:r>
      <w:r>
        <w:rPr>
          <w:sz w:val="20"/>
        </w:rPr>
        <w:t>Factores de salud sexual</w:t>
      </w:r>
    </w:p>
    <w:p w:rsidR="00B42EF6" w:rsidRDefault="00B42EF6">
      <w:pPr>
        <w:pStyle w:val="Textoindependiente"/>
        <w:spacing w:before="8" w:after="1"/>
        <w:rPr>
          <w:sz w:val="21"/>
        </w:rPr>
      </w:pPr>
    </w:p>
    <w:tbl>
      <w:tblPr>
        <w:tblStyle w:val="TableNormal"/>
        <w:tblW w:w="0" w:type="auto"/>
        <w:tblInd w:w="176" w:type="dxa"/>
        <w:tblLayout w:type="fixed"/>
        <w:tblLook w:val="01E0" w:firstRow="1" w:lastRow="1" w:firstColumn="1" w:lastColumn="1" w:noHBand="0" w:noVBand="0"/>
      </w:tblPr>
      <w:tblGrid>
        <w:gridCol w:w="4492"/>
        <w:gridCol w:w="2826"/>
        <w:gridCol w:w="1210"/>
      </w:tblGrid>
      <w:tr w:rsidR="00B42EF6">
        <w:trPr>
          <w:trHeight w:val="455"/>
        </w:trPr>
        <w:tc>
          <w:tcPr>
            <w:tcW w:w="7318" w:type="dxa"/>
            <w:gridSpan w:val="2"/>
            <w:tcBorders>
              <w:top w:val="single" w:sz="4" w:space="0" w:color="000000"/>
              <w:bottom w:val="single" w:sz="4" w:space="0" w:color="000000"/>
            </w:tcBorders>
          </w:tcPr>
          <w:p w:rsidR="00B42EF6" w:rsidRDefault="004565EA">
            <w:pPr>
              <w:pStyle w:val="TableParagraph"/>
              <w:spacing w:before="102"/>
              <w:ind w:left="4346"/>
              <w:rPr>
                <w:b/>
                <w:sz w:val="20"/>
              </w:rPr>
            </w:pPr>
            <w:r>
              <w:rPr>
                <w:b/>
                <w:sz w:val="20"/>
              </w:rPr>
              <w:t>Característica más frecuente</w:t>
            </w:r>
          </w:p>
        </w:tc>
        <w:tc>
          <w:tcPr>
            <w:tcW w:w="1210" w:type="dxa"/>
            <w:tcBorders>
              <w:top w:val="single" w:sz="4" w:space="0" w:color="000000"/>
              <w:bottom w:val="single" w:sz="4" w:space="0" w:color="000000"/>
            </w:tcBorders>
          </w:tcPr>
          <w:p w:rsidR="00B42EF6" w:rsidRDefault="004565EA">
            <w:pPr>
              <w:pStyle w:val="TableParagraph"/>
              <w:spacing w:before="102"/>
              <w:ind w:right="161"/>
              <w:jc w:val="center"/>
              <w:rPr>
                <w:b/>
                <w:sz w:val="20"/>
              </w:rPr>
            </w:pPr>
            <w:r>
              <w:rPr>
                <w:b/>
                <w:w w:val="97"/>
                <w:sz w:val="20"/>
              </w:rPr>
              <w:t>%</w:t>
            </w:r>
          </w:p>
        </w:tc>
      </w:tr>
      <w:tr w:rsidR="00B42EF6">
        <w:trPr>
          <w:trHeight w:val="297"/>
        </w:trPr>
        <w:tc>
          <w:tcPr>
            <w:tcW w:w="4492" w:type="dxa"/>
            <w:tcBorders>
              <w:top w:val="single" w:sz="4" w:space="0" w:color="000000"/>
            </w:tcBorders>
          </w:tcPr>
          <w:p w:rsidR="00B42EF6" w:rsidRDefault="004565EA">
            <w:pPr>
              <w:pStyle w:val="TableParagraph"/>
              <w:spacing w:before="30"/>
              <w:ind w:left="676" w:right="696"/>
              <w:jc w:val="center"/>
              <w:rPr>
                <w:sz w:val="20"/>
              </w:rPr>
            </w:pPr>
            <w:r>
              <w:rPr>
                <w:sz w:val="20"/>
              </w:rPr>
              <w:t>Edad de la primera relación sexual</w:t>
            </w:r>
          </w:p>
        </w:tc>
        <w:tc>
          <w:tcPr>
            <w:tcW w:w="2826" w:type="dxa"/>
            <w:tcBorders>
              <w:top w:val="single" w:sz="4" w:space="0" w:color="000000"/>
            </w:tcBorders>
          </w:tcPr>
          <w:p w:rsidR="00B42EF6" w:rsidRDefault="004565EA">
            <w:pPr>
              <w:pStyle w:val="TableParagraph"/>
              <w:spacing w:before="30"/>
              <w:ind w:left="700" w:right="1085"/>
              <w:jc w:val="center"/>
              <w:rPr>
                <w:sz w:val="20"/>
              </w:rPr>
            </w:pPr>
            <w:r>
              <w:rPr>
                <w:sz w:val="20"/>
              </w:rPr>
              <w:t>14-19 años</w:t>
            </w:r>
          </w:p>
        </w:tc>
        <w:tc>
          <w:tcPr>
            <w:tcW w:w="1210" w:type="dxa"/>
            <w:tcBorders>
              <w:top w:val="single" w:sz="4" w:space="0" w:color="000000"/>
            </w:tcBorders>
          </w:tcPr>
          <w:p w:rsidR="00B42EF6" w:rsidRDefault="004565EA">
            <w:pPr>
              <w:pStyle w:val="TableParagraph"/>
              <w:spacing w:before="30"/>
              <w:ind w:left="218" w:right="382"/>
              <w:jc w:val="center"/>
              <w:rPr>
                <w:sz w:val="20"/>
              </w:rPr>
            </w:pPr>
            <w:r>
              <w:rPr>
                <w:sz w:val="20"/>
              </w:rPr>
              <w:t>53.7</w:t>
            </w:r>
          </w:p>
        </w:tc>
      </w:tr>
      <w:tr w:rsidR="00B42EF6">
        <w:trPr>
          <w:trHeight w:val="280"/>
        </w:trPr>
        <w:tc>
          <w:tcPr>
            <w:tcW w:w="4492" w:type="dxa"/>
          </w:tcPr>
          <w:p w:rsidR="00B42EF6" w:rsidRDefault="004565EA">
            <w:pPr>
              <w:pStyle w:val="TableParagraph"/>
              <w:spacing w:before="30"/>
              <w:ind w:left="676" w:right="690"/>
              <w:jc w:val="center"/>
              <w:rPr>
                <w:sz w:val="20"/>
              </w:rPr>
            </w:pPr>
            <w:r>
              <w:rPr>
                <w:sz w:val="20"/>
              </w:rPr>
              <w:t>Número de parejas sexuales</w:t>
            </w:r>
          </w:p>
        </w:tc>
        <w:tc>
          <w:tcPr>
            <w:tcW w:w="2826" w:type="dxa"/>
          </w:tcPr>
          <w:p w:rsidR="00B42EF6" w:rsidRDefault="004565EA">
            <w:pPr>
              <w:pStyle w:val="TableParagraph"/>
              <w:spacing w:before="30"/>
              <w:ind w:left="700" w:right="1079"/>
              <w:jc w:val="center"/>
              <w:rPr>
                <w:sz w:val="20"/>
              </w:rPr>
            </w:pPr>
            <w:r>
              <w:rPr>
                <w:sz w:val="20"/>
              </w:rPr>
              <w:t>1 pareja</w:t>
            </w:r>
          </w:p>
        </w:tc>
        <w:tc>
          <w:tcPr>
            <w:tcW w:w="1210" w:type="dxa"/>
          </w:tcPr>
          <w:p w:rsidR="00B42EF6" w:rsidRDefault="004565EA">
            <w:pPr>
              <w:pStyle w:val="TableParagraph"/>
              <w:spacing w:before="30"/>
              <w:ind w:left="216" w:right="383"/>
              <w:jc w:val="center"/>
              <w:rPr>
                <w:sz w:val="20"/>
              </w:rPr>
            </w:pPr>
            <w:r>
              <w:rPr>
                <w:sz w:val="20"/>
              </w:rPr>
              <w:t>57%</w:t>
            </w:r>
          </w:p>
        </w:tc>
      </w:tr>
      <w:tr w:rsidR="00B42EF6">
        <w:trPr>
          <w:trHeight w:val="256"/>
        </w:trPr>
        <w:tc>
          <w:tcPr>
            <w:tcW w:w="4492" w:type="dxa"/>
            <w:tcBorders>
              <w:bottom w:val="single" w:sz="4" w:space="0" w:color="000000"/>
            </w:tcBorders>
          </w:tcPr>
          <w:p w:rsidR="00B42EF6" w:rsidRDefault="004565EA">
            <w:pPr>
              <w:pStyle w:val="TableParagraph"/>
              <w:spacing w:before="13" w:line="223" w:lineRule="exact"/>
              <w:ind w:left="676" w:right="685"/>
              <w:jc w:val="center"/>
              <w:rPr>
                <w:sz w:val="20"/>
              </w:rPr>
            </w:pPr>
            <w:r>
              <w:rPr>
                <w:sz w:val="20"/>
              </w:rPr>
              <w:t>Antecedentes de ITS</w:t>
            </w:r>
          </w:p>
        </w:tc>
        <w:tc>
          <w:tcPr>
            <w:tcW w:w="2826" w:type="dxa"/>
            <w:tcBorders>
              <w:bottom w:val="single" w:sz="4" w:space="0" w:color="000000"/>
            </w:tcBorders>
          </w:tcPr>
          <w:p w:rsidR="00B42EF6" w:rsidRDefault="004565EA">
            <w:pPr>
              <w:pStyle w:val="TableParagraph"/>
              <w:spacing w:before="13" w:line="223" w:lineRule="exact"/>
              <w:ind w:left="700" w:right="1079"/>
              <w:jc w:val="center"/>
              <w:rPr>
                <w:sz w:val="20"/>
              </w:rPr>
            </w:pPr>
            <w:r>
              <w:rPr>
                <w:sz w:val="20"/>
              </w:rPr>
              <w:t>No</w:t>
            </w:r>
          </w:p>
        </w:tc>
        <w:tc>
          <w:tcPr>
            <w:tcW w:w="1210" w:type="dxa"/>
            <w:tcBorders>
              <w:bottom w:val="single" w:sz="4" w:space="0" w:color="000000"/>
            </w:tcBorders>
          </w:tcPr>
          <w:p w:rsidR="00B42EF6" w:rsidRDefault="004565EA">
            <w:pPr>
              <w:pStyle w:val="TableParagraph"/>
              <w:spacing w:before="13" w:line="223" w:lineRule="exact"/>
              <w:ind w:left="218" w:right="383"/>
              <w:jc w:val="center"/>
              <w:rPr>
                <w:sz w:val="20"/>
              </w:rPr>
            </w:pPr>
            <w:r>
              <w:rPr>
                <w:sz w:val="20"/>
              </w:rPr>
              <w:t>77.1%</w:t>
            </w:r>
          </w:p>
        </w:tc>
      </w:tr>
    </w:tbl>
    <w:p w:rsidR="00B42EF6" w:rsidRDefault="00B42EF6">
      <w:pPr>
        <w:pStyle w:val="Textoindependiente"/>
      </w:pPr>
    </w:p>
    <w:p w:rsidR="00B42EF6" w:rsidRDefault="00B42EF6">
      <w:pPr>
        <w:pStyle w:val="Textoindependiente"/>
        <w:spacing w:before="7"/>
        <w:rPr>
          <w:sz w:val="17"/>
        </w:rPr>
      </w:pPr>
    </w:p>
    <w:p w:rsidR="00B42EF6" w:rsidRDefault="004565EA">
      <w:pPr>
        <w:pStyle w:val="Textoindependiente"/>
        <w:spacing w:line="276" w:lineRule="auto"/>
        <w:ind w:left="202" w:right="112"/>
        <w:jc w:val="both"/>
      </w:pPr>
      <w:r>
        <w:t>Respecto a las prácticas preventivas se encontró que el 36.5% (78/214) de las mujeres participantes</w:t>
      </w:r>
      <w:r>
        <w:rPr>
          <w:spacing w:val="-10"/>
        </w:rPr>
        <w:t xml:space="preserve"> </w:t>
      </w:r>
      <w:r>
        <w:t>en</w:t>
      </w:r>
      <w:r>
        <w:rPr>
          <w:spacing w:val="-10"/>
        </w:rPr>
        <w:t xml:space="preserve"> </w:t>
      </w:r>
      <w:r>
        <w:t>el</w:t>
      </w:r>
      <w:r>
        <w:rPr>
          <w:spacing w:val="-11"/>
        </w:rPr>
        <w:t xml:space="preserve"> </w:t>
      </w:r>
      <w:r>
        <w:t>estudio</w:t>
      </w:r>
      <w:r>
        <w:rPr>
          <w:spacing w:val="-8"/>
        </w:rPr>
        <w:t xml:space="preserve"> </w:t>
      </w:r>
      <w:r>
        <w:t>refieren</w:t>
      </w:r>
      <w:r>
        <w:rPr>
          <w:spacing w:val="-9"/>
        </w:rPr>
        <w:t xml:space="preserve"> </w:t>
      </w:r>
      <w:r>
        <w:t>haberse</w:t>
      </w:r>
      <w:r>
        <w:rPr>
          <w:spacing w:val="-13"/>
        </w:rPr>
        <w:t xml:space="preserve"> </w:t>
      </w:r>
      <w:r>
        <w:t>realizado</w:t>
      </w:r>
      <w:r>
        <w:rPr>
          <w:spacing w:val="-8"/>
        </w:rPr>
        <w:t xml:space="preserve"> </w:t>
      </w:r>
      <w:r>
        <w:t>al</w:t>
      </w:r>
      <w:r>
        <w:rPr>
          <w:spacing w:val="-11"/>
        </w:rPr>
        <w:t xml:space="preserve"> </w:t>
      </w:r>
      <w:r>
        <w:t>menos</w:t>
      </w:r>
      <w:r>
        <w:rPr>
          <w:spacing w:val="-11"/>
        </w:rPr>
        <w:t xml:space="preserve"> </w:t>
      </w:r>
      <w:r>
        <w:t>uno</w:t>
      </w:r>
      <w:r>
        <w:rPr>
          <w:spacing w:val="-10"/>
        </w:rPr>
        <w:t xml:space="preserve"> </w:t>
      </w:r>
      <w:r>
        <w:t>a</w:t>
      </w:r>
      <w:r>
        <w:rPr>
          <w:spacing w:val="-10"/>
        </w:rPr>
        <w:t xml:space="preserve"> </w:t>
      </w:r>
      <w:r>
        <w:t>dos</w:t>
      </w:r>
      <w:r>
        <w:rPr>
          <w:spacing w:val="-13"/>
        </w:rPr>
        <w:t xml:space="preserve"> </w:t>
      </w:r>
      <w:r>
        <w:t xml:space="preserve">Papanicolaou, mientras que 22% (47/214) entre 3 y 4 pruebas de tamizaje a lo largo de su vida y un 11.2% (24/214) más de 5 pruebas Papanicolaou. El 21.5% (46/214) de las mujeres participantes en </w:t>
      </w:r>
      <w:r>
        <w:t>el estudio refieren haberse realizado al menos una prueba de Inspección</w:t>
      </w:r>
      <w:r>
        <w:rPr>
          <w:spacing w:val="-6"/>
        </w:rPr>
        <w:t xml:space="preserve"> </w:t>
      </w:r>
      <w:r>
        <w:t>Visual</w:t>
      </w:r>
      <w:r>
        <w:rPr>
          <w:spacing w:val="-6"/>
        </w:rPr>
        <w:t xml:space="preserve"> </w:t>
      </w:r>
      <w:r>
        <w:t>con</w:t>
      </w:r>
      <w:r>
        <w:rPr>
          <w:spacing w:val="-5"/>
        </w:rPr>
        <w:t xml:space="preserve"> </w:t>
      </w:r>
      <w:r>
        <w:t>Ácido</w:t>
      </w:r>
      <w:r>
        <w:rPr>
          <w:spacing w:val="-6"/>
        </w:rPr>
        <w:t xml:space="preserve"> </w:t>
      </w:r>
      <w:r>
        <w:t>Acético</w:t>
      </w:r>
      <w:r>
        <w:rPr>
          <w:spacing w:val="-5"/>
        </w:rPr>
        <w:t xml:space="preserve"> </w:t>
      </w:r>
      <w:r>
        <w:t>(IVAA),</w:t>
      </w:r>
      <w:r>
        <w:rPr>
          <w:spacing w:val="-3"/>
        </w:rPr>
        <w:t xml:space="preserve"> </w:t>
      </w:r>
      <w:r>
        <w:t>mientras</w:t>
      </w:r>
      <w:r>
        <w:rPr>
          <w:spacing w:val="-7"/>
        </w:rPr>
        <w:t xml:space="preserve"> </w:t>
      </w:r>
      <w:r>
        <w:t>que</w:t>
      </w:r>
      <w:r>
        <w:rPr>
          <w:spacing w:val="-5"/>
        </w:rPr>
        <w:t xml:space="preserve"> </w:t>
      </w:r>
      <w:r>
        <w:t>7%</w:t>
      </w:r>
      <w:r>
        <w:rPr>
          <w:spacing w:val="-5"/>
        </w:rPr>
        <w:t xml:space="preserve"> </w:t>
      </w:r>
      <w:r>
        <w:t>(15/214)</w:t>
      </w:r>
      <w:r>
        <w:rPr>
          <w:spacing w:val="-3"/>
        </w:rPr>
        <w:t xml:space="preserve"> </w:t>
      </w:r>
      <w:r>
        <w:t>dos</w:t>
      </w:r>
      <w:r>
        <w:rPr>
          <w:spacing w:val="-10"/>
        </w:rPr>
        <w:t xml:space="preserve"> </w:t>
      </w:r>
      <w:r>
        <w:t>IVAA,</w:t>
      </w:r>
      <w:r>
        <w:rPr>
          <w:spacing w:val="-1"/>
        </w:rPr>
        <w:t xml:space="preserve"> </w:t>
      </w:r>
      <w:r>
        <w:t>y</w:t>
      </w:r>
      <w:r>
        <w:rPr>
          <w:spacing w:val="-7"/>
        </w:rPr>
        <w:t xml:space="preserve"> </w:t>
      </w:r>
      <w:r>
        <w:t>sólo 0.9% (2/214) tres; el 11.7% (25/214), 7.9% (17/214), 11.7% (25/214) de las mujeres se realizó el ultimo tamizaje de PAP hace 3, 4 y 5 años o más, mientras que sólo 22.4% (48/214) en los últimos dos años y 23.8% (51/214) en el último año; el 7.5% (16/2</w:t>
      </w:r>
      <w:r>
        <w:t>14) de</w:t>
      </w:r>
      <w:r>
        <w:rPr>
          <w:spacing w:val="-6"/>
        </w:rPr>
        <w:t xml:space="preserve"> </w:t>
      </w:r>
      <w:r>
        <w:t>las</w:t>
      </w:r>
      <w:r>
        <w:rPr>
          <w:spacing w:val="-9"/>
        </w:rPr>
        <w:t xml:space="preserve"> </w:t>
      </w:r>
      <w:r>
        <w:t>mujeres</w:t>
      </w:r>
      <w:r>
        <w:rPr>
          <w:spacing w:val="-9"/>
        </w:rPr>
        <w:t xml:space="preserve"> </w:t>
      </w:r>
      <w:r>
        <w:t>refieren</w:t>
      </w:r>
      <w:r>
        <w:rPr>
          <w:spacing w:val="-10"/>
        </w:rPr>
        <w:t xml:space="preserve"> </w:t>
      </w:r>
      <w:r>
        <w:t>que</w:t>
      </w:r>
      <w:r>
        <w:rPr>
          <w:spacing w:val="-5"/>
        </w:rPr>
        <w:t xml:space="preserve"> </w:t>
      </w:r>
      <w:r>
        <w:t>en</w:t>
      </w:r>
      <w:r>
        <w:rPr>
          <w:spacing w:val="-9"/>
        </w:rPr>
        <w:t xml:space="preserve"> </w:t>
      </w:r>
      <w:r>
        <w:t>el</w:t>
      </w:r>
      <w:r>
        <w:rPr>
          <w:spacing w:val="-8"/>
        </w:rPr>
        <w:t xml:space="preserve"> </w:t>
      </w:r>
      <w:r>
        <w:t>último</w:t>
      </w:r>
      <w:r>
        <w:rPr>
          <w:spacing w:val="-6"/>
        </w:rPr>
        <w:t xml:space="preserve"> </w:t>
      </w:r>
      <w:r>
        <w:t>Papanicolaou</w:t>
      </w:r>
      <w:r>
        <w:rPr>
          <w:spacing w:val="-5"/>
        </w:rPr>
        <w:t xml:space="preserve"> </w:t>
      </w:r>
      <w:r>
        <w:t>el</w:t>
      </w:r>
      <w:r>
        <w:rPr>
          <w:spacing w:val="-9"/>
        </w:rPr>
        <w:t xml:space="preserve"> </w:t>
      </w:r>
      <w:r>
        <w:t>resultado</w:t>
      </w:r>
      <w:r>
        <w:rPr>
          <w:spacing w:val="-10"/>
        </w:rPr>
        <w:t xml:space="preserve"> </w:t>
      </w:r>
      <w:r>
        <w:t>fue</w:t>
      </w:r>
      <w:r>
        <w:rPr>
          <w:spacing w:val="-8"/>
        </w:rPr>
        <w:t xml:space="preserve"> </w:t>
      </w:r>
      <w:r>
        <w:t>positivo,</w:t>
      </w:r>
      <w:r>
        <w:rPr>
          <w:spacing w:val="-5"/>
        </w:rPr>
        <w:t xml:space="preserve"> </w:t>
      </w:r>
      <w:r>
        <w:t>mientras que 55.5% (119/214) tuvieron resultado negativo; respecto al resultado previo de</w:t>
      </w:r>
      <w:r>
        <w:rPr>
          <w:spacing w:val="5"/>
        </w:rPr>
        <w:t xml:space="preserve"> </w:t>
      </w:r>
      <w:r>
        <w:t>IVAA</w:t>
      </w:r>
    </w:p>
    <w:p w:rsidR="00B42EF6" w:rsidRDefault="00B42EF6">
      <w:pPr>
        <w:spacing w:line="276" w:lineRule="auto"/>
        <w:jc w:val="both"/>
        <w:sectPr w:rsidR="00B42EF6">
          <w:headerReference w:type="default" r:id="rId17"/>
          <w:footerReference w:type="default" r:id="rId18"/>
          <w:pgSz w:w="11920" w:h="16850"/>
          <w:pgMar w:top="1300" w:right="1580" w:bottom="1160" w:left="1500" w:header="725" w:footer="974" w:gutter="0"/>
          <w:cols w:space="720"/>
        </w:sectPr>
      </w:pPr>
    </w:p>
    <w:p w:rsidR="00B42EF6" w:rsidRDefault="004565EA">
      <w:pPr>
        <w:pStyle w:val="Textoindependiente"/>
        <w:spacing w:before="89" w:line="278" w:lineRule="auto"/>
        <w:ind w:left="204" w:right="275"/>
      </w:pPr>
      <w:r>
        <w:lastRenderedPageBreak/>
        <w:t>el 6% (13/214) de las mujeres refieren que en el último IVAA el resultado fue positivo, mientras que 22.4% (48/214) tuvieron resultado negativo.</w:t>
      </w:r>
    </w:p>
    <w:p w:rsidR="00B42EF6" w:rsidRDefault="00B42EF6">
      <w:pPr>
        <w:pStyle w:val="Textoindependiente"/>
        <w:rPr>
          <w:sz w:val="24"/>
        </w:rPr>
      </w:pPr>
    </w:p>
    <w:p w:rsidR="00B42EF6" w:rsidRDefault="004565EA">
      <w:pPr>
        <w:spacing w:before="174"/>
        <w:ind w:left="2525"/>
        <w:rPr>
          <w:sz w:val="20"/>
        </w:rPr>
      </w:pPr>
      <w:r>
        <w:rPr>
          <w:b/>
          <w:sz w:val="20"/>
        </w:rPr>
        <w:t>Tabla N</w:t>
      </w:r>
      <w:r>
        <w:rPr>
          <w:b/>
          <w:position w:val="7"/>
          <w:sz w:val="13"/>
        </w:rPr>
        <w:t xml:space="preserve">o </w:t>
      </w:r>
      <w:r>
        <w:rPr>
          <w:b/>
          <w:sz w:val="20"/>
        </w:rPr>
        <w:t xml:space="preserve">4. </w:t>
      </w:r>
      <w:r>
        <w:rPr>
          <w:sz w:val="20"/>
        </w:rPr>
        <w:t>Factor de prácticas preventivas</w:t>
      </w:r>
    </w:p>
    <w:p w:rsidR="00B42EF6" w:rsidRDefault="00B42EF6">
      <w:pPr>
        <w:pStyle w:val="Textoindependiente"/>
        <w:spacing w:before="4"/>
        <w:rPr>
          <w:sz w:val="21"/>
        </w:rPr>
      </w:pPr>
    </w:p>
    <w:tbl>
      <w:tblPr>
        <w:tblStyle w:val="TableNormal"/>
        <w:tblW w:w="0" w:type="auto"/>
        <w:tblInd w:w="857" w:type="dxa"/>
        <w:tblLayout w:type="fixed"/>
        <w:tblLook w:val="01E0" w:firstRow="1" w:lastRow="1" w:firstColumn="1" w:lastColumn="1" w:noHBand="0" w:noVBand="0"/>
      </w:tblPr>
      <w:tblGrid>
        <w:gridCol w:w="3547"/>
        <w:gridCol w:w="2424"/>
        <w:gridCol w:w="1197"/>
      </w:tblGrid>
      <w:tr w:rsidR="00B42EF6">
        <w:trPr>
          <w:trHeight w:val="481"/>
        </w:trPr>
        <w:tc>
          <w:tcPr>
            <w:tcW w:w="5971" w:type="dxa"/>
            <w:gridSpan w:val="2"/>
            <w:tcBorders>
              <w:top w:val="single" w:sz="4" w:space="0" w:color="000000"/>
            </w:tcBorders>
          </w:tcPr>
          <w:p w:rsidR="00B42EF6" w:rsidRDefault="004565EA">
            <w:pPr>
              <w:pStyle w:val="TableParagraph"/>
              <w:spacing w:line="225" w:lineRule="exact"/>
              <w:ind w:left="3773"/>
              <w:rPr>
                <w:b/>
                <w:sz w:val="20"/>
              </w:rPr>
            </w:pPr>
            <w:r>
              <w:rPr>
                <w:b/>
                <w:sz w:val="20"/>
              </w:rPr>
              <w:t>Característica más</w:t>
            </w:r>
          </w:p>
          <w:p w:rsidR="00B42EF6" w:rsidRDefault="004565EA">
            <w:pPr>
              <w:pStyle w:val="TableParagraph"/>
              <w:tabs>
                <w:tab w:val="left" w:pos="4210"/>
                <w:tab w:val="left" w:pos="7167"/>
              </w:tabs>
              <w:ind w:left="14" w:right="-1210"/>
              <w:rPr>
                <w:b/>
                <w:sz w:val="20"/>
              </w:rPr>
            </w:pPr>
            <w:r>
              <w:rPr>
                <w:b/>
                <w:w w:val="99"/>
                <w:sz w:val="20"/>
                <w:u w:val="single"/>
              </w:rPr>
              <w:t xml:space="preserve"> </w:t>
            </w:r>
            <w:r>
              <w:rPr>
                <w:b/>
                <w:sz w:val="20"/>
                <w:u w:val="single"/>
              </w:rPr>
              <w:tab/>
              <w:t>frecuente</w:t>
            </w:r>
            <w:r>
              <w:rPr>
                <w:b/>
                <w:sz w:val="20"/>
                <w:u w:val="single"/>
              </w:rPr>
              <w:tab/>
            </w:r>
          </w:p>
        </w:tc>
        <w:tc>
          <w:tcPr>
            <w:tcW w:w="1197" w:type="dxa"/>
            <w:tcBorders>
              <w:top w:val="single" w:sz="4" w:space="0" w:color="000000"/>
            </w:tcBorders>
          </w:tcPr>
          <w:p w:rsidR="00B42EF6" w:rsidRDefault="004565EA">
            <w:pPr>
              <w:pStyle w:val="TableParagraph"/>
              <w:spacing w:before="105"/>
              <w:ind w:left="35"/>
              <w:jc w:val="center"/>
              <w:rPr>
                <w:b/>
                <w:sz w:val="20"/>
              </w:rPr>
            </w:pPr>
            <w:r>
              <w:rPr>
                <w:b/>
                <w:w w:val="97"/>
                <w:sz w:val="20"/>
              </w:rPr>
              <w:t>%</w:t>
            </w:r>
          </w:p>
        </w:tc>
      </w:tr>
      <w:tr w:rsidR="00B42EF6">
        <w:trPr>
          <w:trHeight w:val="286"/>
        </w:trPr>
        <w:tc>
          <w:tcPr>
            <w:tcW w:w="3547" w:type="dxa"/>
          </w:tcPr>
          <w:p w:rsidR="00B42EF6" w:rsidRDefault="004565EA">
            <w:pPr>
              <w:pStyle w:val="TableParagraph"/>
              <w:spacing w:before="19"/>
              <w:ind w:left="560" w:right="589"/>
              <w:jc w:val="center"/>
              <w:rPr>
                <w:sz w:val="20"/>
              </w:rPr>
            </w:pPr>
            <w:r>
              <w:rPr>
                <w:sz w:val="20"/>
              </w:rPr>
              <w:t>Edad de Menarquía</w:t>
            </w:r>
          </w:p>
        </w:tc>
        <w:tc>
          <w:tcPr>
            <w:tcW w:w="2424" w:type="dxa"/>
          </w:tcPr>
          <w:p w:rsidR="00B42EF6" w:rsidRDefault="004565EA">
            <w:pPr>
              <w:pStyle w:val="TableParagraph"/>
              <w:spacing w:before="19"/>
              <w:ind w:left="592" w:right="790"/>
              <w:jc w:val="center"/>
              <w:rPr>
                <w:sz w:val="20"/>
              </w:rPr>
            </w:pPr>
            <w:r>
              <w:rPr>
                <w:sz w:val="20"/>
              </w:rPr>
              <w:t>12-13 años</w:t>
            </w:r>
          </w:p>
        </w:tc>
        <w:tc>
          <w:tcPr>
            <w:tcW w:w="1197" w:type="dxa"/>
          </w:tcPr>
          <w:p w:rsidR="00B42EF6" w:rsidRDefault="004565EA">
            <w:pPr>
              <w:pStyle w:val="TableParagraph"/>
              <w:spacing w:before="19"/>
              <w:ind w:left="399" w:right="367"/>
              <w:jc w:val="center"/>
              <w:rPr>
                <w:sz w:val="20"/>
              </w:rPr>
            </w:pPr>
            <w:r>
              <w:rPr>
                <w:sz w:val="20"/>
              </w:rPr>
              <w:t>40.2</w:t>
            </w:r>
          </w:p>
        </w:tc>
      </w:tr>
      <w:tr w:rsidR="00B42EF6">
        <w:trPr>
          <w:trHeight w:val="282"/>
        </w:trPr>
        <w:tc>
          <w:tcPr>
            <w:tcW w:w="3547" w:type="dxa"/>
          </w:tcPr>
          <w:p w:rsidR="00B42EF6" w:rsidRDefault="004565EA">
            <w:pPr>
              <w:pStyle w:val="TableParagraph"/>
              <w:spacing w:before="30"/>
              <w:ind w:left="560" w:right="590"/>
              <w:jc w:val="center"/>
              <w:rPr>
                <w:sz w:val="20"/>
              </w:rPr>
            </w:pPr>
            <w:r>
              <w:rPr>
                <w:sz w:val="20"/>
              </w:rPr>
              <w:t>Edad del primer embarazo</w:t>
            </w:r>
          </w:p>
        </w:tc>
        <w:tc>
          <w:tcPr>
            <w:tcW w:w="2424" w:type="dxa"/>
          </w:tcPr>
          <w:p w:rsidR="00B42EF6" w:rsidRDefault="004565EA">
            <w:pPr>
              <w:pStyle w:val="TableParagraph"/>
              <w:spacing w:before="30"/>
              <w:ind w:left="592" w:right="790"/>
              <w:jc w:val="center"/>
              <w:rPr>
                <w:sz w:val="20"/>
              </w:rPr>
            </w:pPr>
            <w:r>
              <w:rPr>
                <w:sz w:val="20"/>
              </w:rPr>
              <w:t>20-29 años</w:t>
            </w:r>
          </w:p>
        </w:tc>
        <w:tc>
          <w:tcPr>
            <w:tcW w:w="1197" w:type="dxa"/>
          </w:tcPr>
          <w:p w:rsidR="00B42EF6" w:rsidRDefault="004565EA">
            <w:pPr>
              <w:pStyle w:val="TableParagraph"/>
              <w:spacing w:before="30"/>
              <w:ind w:left="399" w:right="367"/>
              <w:jc w:val="center"/>
              <w:rPr>
                <w:sz w:val="20"/>
              </w:rPr>
            </w:pPr>
            <w:r>
              <w:rPr>
                <w:sz w:val="20"/>
              </w:rPr>
              <w:t>47.7</w:t>
            </w:r>
          </w:p>
        </w:tc>
      </w:tr>
      <w:tr w:rsidR="00B42EF6">
        <w:trPr>
          <w:trHeight w:val="267"/>
        </w:trPr>
        <w:tc>
          <w:tcPr>
            <w:tcW w:w="3547" w:type="dxa"/>
          </w:tcPr>
          <w:p w:rsidR="00B42EF6" w:rsidRDefault="004565EA">
            <w:pPr>
              <w:pStyle w:val="TableParagraph"/>
              <w:spacing w:before="14"/>
              <w:ind w:left="560" w:right="590"/>
              <w:jc w:val="center"/>
              <w:rPr>
                <w:sz w:val="20"/>
              </w:rPr>
            </w:pPr>
            <w:r>
              <w:rPr>
                <w:sz w:val="20"/>
              </w:rPr>
              <w:t>Paridad</w:t>
            </w:r>
          </w:p>
        </w:tc>
        <w:tc>
          <w:tcPr>
            <w:tcW w:w="2424" w:type="dxa"/>
          </w:tcPr>
          <w:p w:rsidR="00B42EF6" w:rsidRDefault="004565EA">
            <w:pPr>
              <w:pStyle w:val="TableParagraph"/>
              <w:spacing w:before="14"/>
              <w:ind w:left="592" w:right="789"/>
              <w:jc w:val="center"/>
              <w:rPr>
                <w:sz w:val="20"/>
              </w:rPr>
            </w:pPr>
            <w:r>
              <w:rPr>
                <w:sz w:val="20"/>
              </w:rPr>
              <w:t>Multípara</w:t>
            </w:r>
          </w:p>
        </w:tc>
        <w:tc>
          <w:tcPr>
            <w:tcW w:w="1197" w:type="dxa"/>
          </w:tcPr>
          <w:p w:rsidR="00B42EF6" w:rsidRDefault="004565EA">
            <w:pPr>
              <w:pStyle w:val="TableParagraph"/>
              <w:spacing w:before="14"/>
              <w:ind w:left="399" w:right="367"/>
              <w:jc w:val="center"/>
              <w:rPr>
                <w:sz w:val="20"/>
              </w:rPr>
            </w:pPr>
            <w:r>
              <w:rPr>
                <w:sz w:val="20"/>
              </w:rPr>
              <w:t>70.1</w:t>
            </w:r>
          </w:p>
        </w:tc>
      </w:tr>
      <w:tr w:rsidR="00B42EF6">
        <w:trPr>
          <w:trHeight w:val="296"/>
        </w:trPr>
        <w:tc>
          <w:tcPr>
            <w:tcW w:w="3547" w:type="dxa"/>
            <w:tcBorders>
              <w:bottom w:val="single" w:sz="4" w:space="0" w:color="000000"/>
            </w:tcBorders>
          </w:tcPr>
          <w:p w:rsidR="00B42EF6" w:rsidRDefault="004565EA">
            <w:pPr>
              <w:pStyle w:val="TableParagraph"/>
              <w:spacing w:before="16"/>
              <w:ind w:left="560" w:right="590"/>
              <w:jc w:val="center"/>
              <w:rPr>
                <w:sz w:val="20"/>
              </w:rPr>
            </w:pPr>
            <w:r>
              <w:rPr>
                <w:sz w:val="20"/>
              </w:rPr>
              <w:t>Uso de anticonceptivo</w:t>
            </w:r>
          </w:p>
        </w:tc>
        <w:tc>
          <w:tcPr>
            <w:tcW w:w="2424" w:type="dxa"/>
            <w:tcBorders>
              <w:bottom w:val="single" w:sz="4" w:space="0" w:color="000000"/>
            </w:tcBorders>
          </w:tcPr>
          <w:p w:rsidR="00B42EF6" w:rsidRDefault="004565EA">
            <w:pPr>
              <w:pStyle w:val="TableParagraph"/>
              <w:spacing w:before="16"/>
              <w:ind w:left="592" w:right="786"/>
              <w:jc w:val="center"/>
              <w:rPr>
                <w:sz w:val="20"/>
              </w:rPr>
            </w:pPr>
            <w:r>
              <w:rPr>
                <w:sz w:val="20"/>
              </w:rPr>
              <w:t>No usan</w:t>
            </w:r>
          </w:p>
        </w:tc>
        <w:tc>
          <w:tcPr>
            <w:tcW w:w="1197" w:type="dxa"/>
            <w:tcBorders>
              <w:bottom w:val="single" w:sz="4" w:space="0" w:color="000000"/>
            </w:tcBorders>
          </w:tcPr>
          <w:p w:rsidR="00B42EF6" w:rsidRDefault="004565EA">
            <w:pPr>
              <w:pStyle w:val="TableParagraph"/>
              <w:spacing w:before="16"/>
              <w:ind w:left="397" w:right="367"/>
              <w:jc w:val="center"/>
              <w:rPr>
                <w:sz w:val="20"/>
              </w:rPr>
            </w:pPr>
            <w:r>
              <w:rPr>
                <w:sz w:val="20"/>
              </w:rPr>
              <w:t>57</w:t>
            </w:r>
          </w:p>
        </w:tc>
      </w:tr>
    </w:tbl>
    <w:p w:rsidR="00B42EF6" w:rsidRDefault="00B42EF6">
      <w:pPr>
        <w:pStyle w:val="Textoindependiente"/>
        <w:spacing w:before="7"/>
        <w:rPr>
          <w:sz w:val="19"/>
        </w:rPr>
      </w:pPr>
    </w:p>
    <w:p w:rsidR="00B42EF6" w:rsidRDefault="004565EA">
      <w:pPr>
        <w:pStyle w:val="Textoindependiente"/>
        <w:spacing w:line="276" w:lineRule="auto"/>
        <w:ind w:left="204" w:right="106"/>
        <w:jc w:val="both"/>
      </w:pPr>
      <w:r>
        <w:t>Respecto</w:t>
      </w:r>
      <w:r>
        <w:rPr>
          <w:spacing w:val="-13"/>
        </w:rPr>
        <w:t xml:space="preserve"> </w:t>
      </w:r>
      <w:r>
        <w:t>a</w:t>
      </w:r>
      <w:r>
        <w:rPr>
          <w:spacing w:val="-13"/>
        </w:rPr>
        <w:t xml:space="preserve"> </w:t>
      </w:r>
      <w:r>
        <w:t>la</w:t>
      </w:r>
      <w:r>
        <w:rPr>
          <w:spacing w:val="-15"/>
        </w:rPr>
        <w:t xml:space="preserve"> </w:t>
      </w:r>
      <w:r>
        <w:t>frecuencia</w:t>
      </w:r>
      <w:r>
        <w:rPr>
          <w:spacing w:val="-14"/>
        </w:rPr>
        <w:t xml:space="preserve"> </w:t>
      </w:r>
      <w:r>
        <w:t>de</w:t>
      </w:r>
      <w:r>
        <w:rPr>
          <w:spacing w:val="-11"/>
        </w:rPr>
        <w:t xml:space="preserve"> </w:t>
      </w:r>
      <w:r>
        <w:t>VPH</w:t>
      </w:r>
      <w:r>
        <w:rPr>
          <w:spacing w:val="-13"/>
        </w:rPr>
        <w:t xml:space="preserve"> </w:t>
      </w:r>
      <w:r>
        <w:t>según</w:t>
      </w:r>
      <w:r>
        <w:rPr>
          <w:spacing w:val="-13"/>
        </w:rPr>
        <w:t xml:space="preserve"> </w:t>
      </w:r>
      <w:r>
        <w:t>edad</w:t>
      </w:r>
      <w:r>
        <w:rPr>
          <w:spacing w:val="-15"/>
        </w:rPr>
        <w:t xml:space="preserve"> </w:t>
      </w:r>
      <w:r>
        <w:t>de</w:t>
      </w:r>
      <w:r>
        <w:rPr>
          <w:spacing w:val="-13"/>
        </w:rPr>
        <w:t xml:space="preserve"> </w:t>
      </w:r>
      <w:r>
        <w:t>la</w:t>
      </w:r>
      <w:r>
        <w:rPr>
          <w:spacing w:val="-14"/>
        </w:rPr>
        <w:t xml:space="preserve"> </w:t>
      </w:r>
      <w:r>
        <w:t>menarquía</w:t>
      </w:r>
      <w:r>
        <w:rPr>
          <w:spacing w:val="-10"/>
        </w:rPr>
        <w:t xml:space="preserve"> </w:t>
      </w:r>
      <w:r>
        <w:t>se</w:t>
      </w:r>
      <w:r>
        <w:rPr>
          <w:spacing w:val="-10"/>
        </w:rPr>
        <w:t xml:space="preserve"> </w:t>
      </w:r>
      <w:r>
        <w:t>encontró</w:t>
      </w:r>
      <w:r>
        <w:rPr>
          <w:spacing w:val="-14"/>
        </w:rPr>
        <w:t xml:space="preserve"> </w:t>
      </w:r>
      <w:r>
        <w:t>que</w:t>
      </w:r>
      <w:r>
        <w:rPr>
          <w:spacing w:val="-16"/>
        </w:rPr>
        <w:t xml:space="preserve"> </w:t>
      </w:r>
      <w:r>
        <w:t>no</w:t>
      </w:r>
      <w:r>
        <w:rPr>
          <w:spacing w:val="-13"/>
        </w:rPr>
        <w:t xml:space="preserve"> </w:t>
      </w:r>
      <w:r>
        <w:t>existe una</w:t>
      </w:r>
      <w:r>
        <w:rPr>
          <w:spacing w:val="-10"/>
        </w:rPr>
        <w:t xml:space="preserve"> </w:t>
      </w:r>
      <w:r>
        <w:t>relación</w:t>
      </w:r>
      <w:r>
        <w:rPr>
          <w:spacing w:val="-10"/>
        </w:rPr>
        <w:t xml:space="preserve"> </w:t>
      </w:r>
      <w:r>
        <w:t>significativa</w:t>
      </w:r>
      <w:r>
        <w:rPr>
          <w:spacing w:val="-10"/>
        </w:rPr>
        <w:t xml:space="preserve"> </w:t>
      </w:r>
      <w:r>
        <w:t>(p&gt;0.01).</w:t>
      </w:r>
      <w:r>
        <w:rPr>
          <w:spacing w:val="-9"/>
        </w:rPr>
        <w:t xml:space="preserve"> </w:t>
      </w:r>
      <w:r>
        <w:t>La</w:t>
      </w:r>
      <w:r>
        <w:rPr>
          <w:spacing w:val="-14"/>
        </w:rPr>
        <w:t xml:space="preserve"> </w:t>
      </w:r>
      <w:r>
        <w:t>frecuencia</w:t>
      </w:r>
      <w:r>
        <w:rPr>
          <w:spacing w:val="-12"/>
        </w:rPr>
        <w:t xml:space="preserve"> </w:t>
      </w:r>
      <w:r>
        <w:t>de</w:t>
      </w:r>
      <w:r>
        <w:rPr>
          <w:spacing w:val="-10"/>
        </w:rPr>
        <w:t xml:space="preserve"> </w:t>
      </w:r>
      <w:r>
        <w:t>Inspección</w:t>
      </w:r>
      <w:r>
        <w:rPr>
          <w:spacing w:val="-11"/>
        </w:rPr>
        <w:t xml:space="preserve"> </w:t>
      </w:r>
      <w:r>
        <w:t>Visual</w:t>
      </w:r>
      <w:r>
        <w:rPr>
          <w:spacing w:val="-10"/>
        </w:rPr>
        <w:t xml:space="preserve"> </w:t>
      </w:r>
      <w:r>
        <w:t>con</w:t>
      </w:r>
      <w:r>
        <w:rPr>
          <w:spacing w:val="-15"/>
        </w:rPr>
        <w:t xml:space="preserve"> </w:t>
      </w:r>
      <w:r>
        <w:t>Ácido</w:t>
      </w:r>
      <w:r>
        <w:rPr>
          <w:spacing w:val="-10"/>
        </w:rPr>
        <w:t xml:space="preserve"> </w:t>
      </w:r>
      <w:r>
        <w:t>Acético (IVAA)</w:t>
      </w:r>
      <w:r>
        <w:rPr>
          <w:spacing w:val="-4"/>
        </w:rPr>
        <w:t xml:space="preserve"> </w:t>
      </w:r>
      <w:r>
        <w:t>positivo</w:t>
      </w:r>
      <w:r>
        <w:rPr>
          <w:spacing w:val="-5"/>
        </w:rPr>
        <w:t xml:space="preserve"> </w:t>
      </w:r>
      <w:r>
        <w:t>fue</w:t>
      </w:r>
      <w:r>
        <w:rPr>
          <w:spacing w:val="-5"/>
        </w:rPr>
        <w:t xml:space="preserve"> </w:t>
      </w:r>
      <w:r>
        <w:t>de</w:t>
      </w:r>
      <w:r>
        <w:rPr>
          <w:spacing w:val="-4"/>
        </w:rPr>
        <w:t xml:space="preserve"> </w:t>
      </w:r>
      <w:r>
        <w:t>4.7%</w:t>
      </w:r>
      <w:r>
        <w:rPr>
          <w:spacing w:val="-5"/>
        </w:rPr>
        <w:t xml:space="preserve"> </w:t>
      </w:r>
      <w:r>
        <w:t>(10/190),</w:t>
      </w:r>
      <w:r>
        <w:rPr>
          <w:spacing w:val="-6"/>
        </w:rPr>
        <w:t xml:space="preserve"> </w:t>
      </w:r>
      <w:r>
        <w:t>mientras</w:t>
      </w:r>
      <w:r>
        <w:rPr>
          <w:spacing w:val="-9"/>
        </w:rPr>
        <w:t xml:space="preserve"> </w:t>
      </w:r>
      <w:r>
        <w:t>que</w:t>
      </w:r>
      <w:r>
        <w:rPr>
          <w:spacing w:val="-2"/>
        </w:rPr>
        <w:t xml:space="preserve"> </w:t>
      </w:r>
      <w:r>
        <w:t>el</w:t>
      </w:r>
      <w:r>
        <w:rPr>
          <w:spacing w:val="-6"/>
        </w:rPr>
        <w:t xml:space="preserve"> </w:t>
      </w:r>
      <w:r>
        <w:t>84.1%</w:t>
      </w:r>
      <w:r>
        <w:rPr>
          <w:spacing w:val="-7"/>
        </w:rPr>
        <w:t xml:space="preserve"> </w:t>
      </w:r>
      <w:r>
        <w:t>tuvo</w:t>
      </w:r>
      <w:r>
        <w:rPr>
          <w:spacing w:val="-3"/>
        </w:rPr>
        <w:t xml:space="preserve"> </w:t>
      </w:r>
      <w:r>
        <w:t>un</w:t>
      </w:r>
      <w:r>
        <w:rPr>
          <w:spacing w:val="-6"/>
        </w:rPr>
        <w:t xml:space="preserve"> </w:t>
      </w:r>
      <w:r>
        <w:t>IVAA</w:t>
      </w:r>
      <w:r>
        <w:rPr>
          <w:spacing w:val="-6"/>
        </w:rPr>
        <w:t xml:space="preserve"> </w:t>
      </w:r>
      <w:r>
        <w:t>negativo.</w:t>
      </w:r>
      <w:r>
        <w:rPr>
          <w:spacing w:val="-2"/>
        </w:rPr>
        <w:t xml:space="preserve"> </w:t>
      </w:r>
      <w:r>
        <w:t>Así mismo la frecuencia de VPH positivo fue de 11.2% (24/214; IC al 95% 0.076 – 0.161); mientras que 88.8% (190/214) fueron negativos. Y de los 24 casos se encontraron 9 casos con resultados de la citología negativos y 15 con resultados positivos (Lesión e</w:t>
      </w:r>
      <w:r>
        <w:t>scamosa intraepitelial de alto grado, bajo grado, células epiteliales atípicas de significado</w:t>
      </w:r>
      <w:r>
        <w:rPr>
          <w:spacing w:val="-8"/>
        </w:rPr>
        <w:t xml:space="preserve"> </w:t>
      </w:r>
      <w:r>
        <w:t>no</w:t>
      </w:r>
      <w:r>
        <w:rPr>
          <w:spacing w:val="-9"/>
        </w:rPr>
        <w:t xml:space="preserve"> </w:t>
      </w:r>
      <w:r>
        <w:t>determinado</w:t>
      </w:r>
      <w:r>
        <w:rPr>
          <w:spacing w:val="-7"/>
        </w:rPr>
        <w:t xml:space="preserve"> </w:t>
      </w:r>
      <w:r>
        <w:t>y</w:t>
      </w:r>
      <w:r>
        <w:rPr>
          <w:spacing w:val="-11"/>
        </w:rPr>
        <w:t xml:space="preserve"> </w:t>
      </w:r>
      <w:r>
        <w:t>atipia</w:t>
      </w:r>
      <w:r>
        <w:rPr>
          <w:spacing w:val="-8"/>
        </w:rPr>
        <w:t xml:space="preserve"> </w:t>
      </w:r>
      <w:r>
        <w:t>de</w:t>
      </w:r>
      <w:r>
        <w:rPr>
          <w:spacing w:val="-9"/>
        </w:rPr>
        <w:t xml:space="preserve"> </w:t>
      </w:r>
      <w:r>
        <w:t>células</w:t>
      </w:r>
      <w:r>
        <w:rPr>
          <w:spacing w:val="-7"/>
        </w:rPr>
        <w:t xml:space="preserve"> </w:t>
      </w:r>
      <w:r>
        <w:t>epiteliales</w:t>
      </w:r>
      <w:r>
        <w:rPr>
          <w:spacing w:val="-9"/>
        </w:rPr>
        <w:t xml:space="preserve"> </w:t>
      </w:r>
      <w:r>
        <w:t>escamosas).</w:t>
      </w:r>
      <w:r>
        <w:rPr>
          <w:spacing w:val="-6"/>
        </w:rPr>
        <w:t xml:space="preserve"> </w:t>
      </w:r>
      <w:r>
        <w:t>Los</w:t>
      </w:r>
      <w:r>
        <w:rPr>
          <w:spacing w:val="-13"/>
        </w:rPr>
        <w:t xml:space="preserve"> </w:t>
      </w:r>
      <w:r>
        <w:t>resultados</w:t>
      </w:r>
      <w:r>
        <w:rPr>
          <w:spacing w:val="-10"/>
        </w:rPr>
        <w:t xml:space="preserve"> </w:t>
      </w:r>
      <w:r>
        <w:t xml:space="preserve">de la biopsia de los resultados de IVAA y VPH positivos arrojaron sólo dos muestras con </w:t>
      </w:r>
      <w:r>
        <w:t>Lesión Intra Epitelial de Bajo Grado (NIC II) y uno de Alto Grado (NIC</w:t>
      </w:r>
      <w:r>
        <w:rPr>
          <w:spacing w:val="-49"/>
        </w:rPr>
        <w:t xml:space="preserve"> </w:t>
      </w:r>
      <w:r>
        <w:t>III).</w:t>
      </w:r>
    </w:p>
    <w:p w:rsidR="00B42EF6" w:rsidRDefault="00B42EF6">
      <w:pPr>
        <w:pStyle w:val="Textoindependiente"/>
        <w:rPr>
          <w:sz w:val="24"/>
        </w:rPr>
      </w:pPr>
    </w:p>
    <w:p w:rsidR="00B42EF6" w:rsidRDefault="00B42EF6">
      <w:pPr>
        <w:pStyle w:val="Textoindependiente"/>
        <w:rPr>
          <w:sz w:val="24"/>
        </w:rPr>
      </w:pPr>
    </w:p>
    <w:p w:rsidR="00B42EF6" w:rsidRDefault="00B42EF6">
      <w:pPr>
        <w:pStyle w:val="Textoindependiente"/>
        <w:spacing w:before="1"/>
        <w:rPr>
          <w:sz w:val="27"/>
        </w:rPr>
      </w:pPr>
    </w:p>
    <w:p w:rsidR="00B42EF6" w:rsidRDefault="00E04F50">
      <w:pPr>
        <w:tabs>
          <w:tab w:val="left" w:pos="2998"/>
          <w:tab w:val="left" w:pos="8708"/>
        </w:tabs>
        <w:ind w:left="204"/>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2617470</wp:posOffset>
                </wp:positionH>
                <wp:positionV relativeFrom="paragraph">
                  <wp:posOffset>450850</wp:posOffset>
                </wp:positionV>
                <wp:extent cx="3094355" cy="1270"/>
                <wp:effectExtent l="7620" t="12700" r="12700" b="508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4355" cy="1270"/>
                        </a:xfrm>
                        <a:custGeom>
                          <a:avLst/>
                          <a:gdLst>
                            <a:gd name="T0" fmla="+- 0 4122 4122"/>
                            <a:gd name="T1" fmla="*/ T0 w 4873"/>
                            <a:gd name="T2" fmla="+- 0 4686 4122"/>
                            <a:gd name="T3" fmla="*/ T2 w 4873"/>
                            <a:gd name="T4" fmla="+- 0 4686 4122"/>
                            <a:gd name="T5" fmla="*/ T4 w 4873"/>
                            <a:gd name="T6" fmla="+- 0 4695 4122"/>
                            <a:gd name="T7" fmla="*/ T6 w 4873"/>
                            <a:gd name="T8" fmla="+- 0 4695 4122"/>
                            <a:gd name="T9" fmla="*/ T8 w 4873"/>
                            <a:gd name="T10" fmla="+- 0 5735 4122"/>
                            <a:gd name="T11" fmla="*/ T10 w 4873"/>
                            <a:gd name="T12" fmla="+- 0 5735 4122"/>
                            <a:gd name="T13" fmla="*/ T12 w 4873"/>
                            <a:gd name="T14" fmla="+- 0 5744 4122"/>
                            <a:gd name="T15" fmla="*/ T14 w 4873"/>
                            <a:gd name="T16" fmla="+- 0 5744 4122"/>
                            <a:gd name="T17" fmla="*/ T16 w 4873"/>
                            <a:gd name="T18" fmla="+- 0 6243 4122"/>
                            <a:gd name="T19" fmla="*/ T18 w 4873"/>
                            <a:gd name="T20" fmla="+- 0 6243 4122"/>
                            <a:gd name="T21" fmla="*/ T20 w 4873"/>
                            <a:gd name="T22" fmla="+- 0 6253 4122"/>
                            <a:gd name="T23" fmla="*/ T22 w 4873"/>
                            <a:gd name="T24" fmla="+- 0 6253 4122"/>
                            <a:gd name="T25" fmla="*/ T24 w 4873"/>
                            <a:gd name="T26" fmla="+- 0 7235 4122"/>
                            <a:gd name="T27" fmla="*/ T26 w 4873"/>
                            <a:gd name="T28" fmla="+- 0 7235 4122"/>
                            <a:gd name="T29" fmla="*/ T28 w 4873"/>
                            <a:gd name="T30" fmla="+- 0 7245 4122"/>
                            <a:gd name="T31" fmla="*/ T30 w 4873"/>
                            <a:gd name="T32" fmla="+- 0 7245 4122"/>
                            <a:gd name="T33" fmla="*/ T32 w 4873"/>
                            <a:gd name="T34" fmla="+- 0 8051 4122"/>
                            <a:gd name="T35" fmla="*/ T34 w 4873"/>
                            <a:gd name="T36" fmla="+- 0 8051 4122"/>
                            <a:gd name="T37" fmla="*/ T36 w 4873"/>
                            <a:gd name="T38" fmla="+- 0 8061 4122"/>
                            <a:gd name="T39" fmla="*/ T38 w 4873"/>
                            <a:gd name="T40" fmla="+- 0 8061 4122"/>
                            <a:gd name="T41" fmla="*/ T40 w 4873"/>
                            <a:gd name="T42" fmla="+- 0 8995 4122"/>
                            <a:gd name="T43" fmla="*/ T42 w 487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4873">
                              <a:moveTo>
                                <a:pt x="0" y="0"/>
                              </a:moveTo>
                              <a:lnTo>
                                <a:pt x="564" y="0"/>
                              </a:lnTo>
                              <a:moveTo>
                                <a:pt x="564" y="0"/>
                              </a:moveTo>
                              <a:lnTo>
                                <a:pt x="573" y="0"/>
                              </a:lnTo>
                              <a:moveTo>
                                <a:pt x="573" y="0"/>
                              </a:moveTo>
                              <a:lnTo>
                                <a:pt x="1613" y="0"/>
                              </a:lnTo>
                              <a:moveTo>
                                <a:pt x="1613" y="0"/>
                              </a:moveTo>
                              <a:lnTo>
                                <a:pt x="1622" y="0"/>
                              </a:lnTo>
                              <a:moveTo>
                                <a:pt x="1622" y="0"/>
                              </a:moveTo>
                              <a:lnTo>
                                <a:pt x="2121" y="0"/>
                              </a:lnTo>
                              <a:moveTo>
                                <a:pt x="2121" y="0"/>
                              </a:moveTo>
                              <a:lnTo>
                                <a:pt x="2131" y="0"/>
                              </a:lnTo>
                              <a:moveTo>
                                <a:pt x="2131" y="0"/>
                              </a:moveTo>
                              <a:lnTo>
                                <a:pt x="3113" y="0"/>
                              </a:lnTo>
                              <a:moveTo>
                                <a:pt x="3113" y="0"/>
                              </a:moveTo>
                              <a:lnTo>
                                <a:pt x="3123" y="0"/>
                              </a:lnTo>
                              <a:moveTo>
                                <a:pt x="3123" y="0"/>
                              </a:moveTo>
                              <a:lnTo>
                                <a:pt x="3929" y="0"/>
                              </a:lnTo>
                              <a:moveTo>
                                <a:pt x="3929" y="0"/>
                              </a:moveTo>
                              <a:lnTo>
                                <a:pt x="3939" y="0"/>
                              </a:lnTo>
                              <a:moveTo>
                                <a:pt x="3939" y="0"/>
                              </a:moveTo>
                              <a:lnTo>
                                <a:pt x="487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E2528" id="AutoShape 2" o:spid="_x0000_s1026" style="position:absolute;margin-left:206.1pt;margin-top:35.5pt;width:243.65pt;height:.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" path="m,l564,t,l573,t,l1613,t,l1622,t,l2121,t,l2131,t,l3113,t,l3123,t,l3929,t,l3939,t,l4873,e" filled="f" strokeweight=".48pt">
                <v:path arrowok="t" o:connecttype="custom" o:connectlocs="0,0;358140,0;358140,0;363855,0;363855,0;1024255,0;1024255,0;1029970,0;1029970,0;1346835,0;1346835,0;1353185,0;1353185,0;1976755,0;1976755,0;1983105,0;1983105,0;2494915,0;2494915,0;2501265,0;2501265,0;3094355,0" o:connectangles="0,0,0,0,0,0,0,0,0,0,0,0,0,0,0,0,0,0,0,0,0,0"/>
                <w10:wrap anchorx="page"/>
              </v:shape>
            </w:pict>
          </mc:Fallback>
        </mc:AlternateContent>
      </w:r>
      <w:r w:rsidR="004565EA">
        <w:rPr>
          <w:b/>
          <w:w w:val="99"/>
          <w:sz w:val="20"/>
          <w:u w:val="single"/>
        </w:rPr>
        <w:t xml:space="preserve"> </w:t>
      </w:r>
      <w:r w:rsidR="004565EA">
        <w:rPr>
          <w:b/>
          <w:sz w:val="20"/>
          <w:u w:val="single"/>
        </w:rPr>
        <w:tab/>
        <w:t xml:space="preserve">Tabla 5. </w:t>
      </w:r>
      <w:r w:rsidR="004565EA">
        <w:rPr>
          <w:sz w:val="20"/>
          <w:u w:val="single"/>
        </w:rPr>
        <w:t>Frecuencia de</w:t>
      </w:r>
      <w:r w:rsidR="004565EA">
        <w:rPr>
          <w:spacing w:val="-24"/>
          <w:sz w:val="20"/>
          <w:u w:val="single"/>
        </w:rPr>
        <w:t xml:space="preserve"> </w:t>
      </w:r>
      <w:r w:rsidR="004565EA">
        <w:rPr>
          <w:sz w:val="20"/>
          <w:u w:val="single"/>
        </w:rPr>
        <w:t>lesiones.</w:t>
      </w:r>
      <w:r w:rsidR="004565EA">
        <w:rPr>
          <w:sz w:val="20"/>
          <w:u w:val="single"/>
        </w:rPr>
        <w:tab/>
      </w:r>
    </w:p>
    <w:p w:rsidR="00B42EF6" w:rsidRDefault="00B42EF6">
      <w:pPr>
        <w:pStyle w:val="Textoindependiente"/>
        <w:spacing w:before="9"/>
        <w:rPr>
          <w:sz w:val="11"/>
        </w:rPr>
      </w:pPr>
    </w:p>
    <w:tbl>
      <w:tblPr>
        <w:tblStyle w:val="TableNormal"/>
        <w:tblW w:w="0" w:type="auto"/>
        <w:tblInd w:w="204" w:type="dxa"/>
        <w:tblLayout w:type="fixed"/>
        <w:tblLook w:val="01E0" w:firstRow="1" w:lastRow="1" w:firstColumn="1" w:lastColumn="1" w:noHBand="0" w:noVBand="0"/>
      </w:tblPr>
      <w:tblGrid>
        <w:gridCol w:w="2003"/>
        <w:gridCol w:w="921"/>
        <w:gridCol w:w="835"/>
        <w:gridCol w:w="695"/>
        <w:gridCol w:w="833"/>
        <w:gridCol w:w="877"/>
        <w:gridCol w:w="2340"/>
      </w:tblGrid>
      <w:tr w:rsidR="00B42EF6">
        <w:trPr>
          <w:trHeight w:val="226"/>
        </w:trPr>
        <w:tc>
          <w:tcPr>
            <w:tcW w:w="3759" w:type="dxa"/>
            <w:gridSpan w:val="3"/>
          </w:tcPr>
          <w:p w:rsidR="00B42EF6" w:rsidRDefault="004565EA">
            <w:pPr>
              <w:pStyle w:val="TableParagraph"/>
              <w:spacing w:line="206" w:lineRule="exact"/>
              <w:ind w:left="2474"/>
              <w:rPr>
                <w:b/>
                <w:sz w:val="20"/>
              </w:rPr>
            </w:pPr>
            <w:r>
              <w:rPr>
                <w:b/>
                <w:sz w:val="20"/>
              </w:rPr>
              <w:t>Negativo</w:t>
            </w:r>
          </w:p>
        </w:tc>
        <w:tc>
          <w:tcPr>
            <w:tcW w:w="1528" w:type="dxa"/>
            <w:gridSpan w:val="2"/>
          </w:tcPr>
          <w:p w:rsidR="00B42EF6" w:rsidRDefault="004565EA">
            <w:pPr>
              <w:pStyle w:val="TableParagraph"/>
              <w:spacing w:line="206" w:lineRule="exact"/>
              <w:ind w:left="331"/>
              <w:rPr>
                <w:b/>
                <w:sz w:val="20"/>
              </w:rPr>
            </w:pPr>
            <w:r>
              <w:rPr>
                <w:b/>
                <w:sz w:val="20"/>
              </w:rPr>
              <w:t>Positivo</w:t>
            </w:r>
          </w:p>
        </w:tc>
        <w:tc>
          <w:tcPr>
            <w:tcW w:w="877" w:type="dxa"/>
          </w:tcPr>
          <w:p w:rsidR="00B42EF6" w:rsidRDefault="004565EA">
            <w:pPr>
              <w:pStyle w:val="TableParagraph"/>
              <w:spacing w:line="206" w:lineRule="exact"/>
              <w:ind w:left="303"/>
              <w:rPr>
                <w:b/>
                <w:sz w:val="20"/>
              </w:rPr>
            </w:pPr>
            <w:r>
              <w:rPr>
                <w:b/>
                <w:sz w:val="20"/>
              </w:rPr>
              <w:t>Total</w:t>
            </w:r>
          </w:p>
        </w:tc>
        <w:tc>
          <w:tcPr>
            <w:tcW w:w="2340" w:type="dxa"/>
          </w:tcPr>
          <w:p w:rsidR="00B42EF6" w:rsidRDefault="00B42EF6">
            <w:pPr>
              <w:pStyle w:val="TableParagraph"/>
              <w:rPr>
                <w:rFonts w:ascii="Times New Roman"/>
                <w:sz w:val="16"/>
              </w:rPr>
            </w:pPr>
          </w:p>
        </w:tc>
      </w:tr>
      <w:tr w:rsidR="00B42EF6">
        <w:trPr>
          <w:trHeight w:val="232"/>
        </w:trPr>
        <w:tc>
          <w:tcPr>
            <w:tcW w:w="2003" w:type="dxa"/>
          </w:tcPr>
          <w:p w:rsidR="00B42EF6" w:rsidRDefault="004565EA">
            <w:pPr>
              <w:pStyle w:val="TableParagraph"/>
              <w:spacing w:line="213" w:lineRule="exact"/>
              <w:ind w:right="554"/>
              <w:jc w:val="right"/>
              <w:rPr>
                <w:b/>
                <w:sz w:val="20"/>
              </w:rPr>
            </w:pPr>
            <w:r>
              <w:rPr>
                <w:b/>
                <w:sz w:val="20"/>
              </w:rPr>
              <w:t>Edad</w:t>
            </w:r>
          </w:p>
        </w:tc>
        <w:tc>
          <w:tcPr>
            <w:tcW w:w="6501" w:type="dxa"/>
            <w:gridSpan w:val="6"/>
          </w:tcPr>
          <w:p w:rsidR="00B42EF6" w:rsidRDefault="004565EA">
            <w:pPr>
              <w:pStyle w:val="TableParagraph"/>
              <w:spacing w:line="213" w:lineRule="exact"/>
              <w:ind w:right="475"/>
              <w:jc w:val="right"/>
              <w:rPr>
                <w:b/>
                <w:i/>
                <w:sz w:val="20"/>
              </w:rPr>
            </w:pPr>
            <w:r>
              <w:rPr>
                <w:b/>
                <w:sz w:val="20"/>
              </w:rPr>
              <w:t xml:space="preserve">Valor </w:t>
            </w:r>
            <w:r>
              <w:rPr>
                <w:b/>
                <w:i/>
                <w:sz w:val="20"/>
              </w:rPr>
              <w:t>p</w:t>
            </w:r>
          </w:p>
        </w:tc>
      </w:tr>
      <w:tr w:rsidR="00B42EF6">
        <w:trPr>
          <w:trHeight w:val="349"/>
        </w:trPr>
        <w:tc>
          <w:tcPr>
            <w:tcW w:w="2003" w:type="dxa"/>
            <w:tcBorders>
              <w:bottom w:val="single" w:sz="4" w:space="0" w:color="000000"/>
            </w:tcBorders>
          </w:tcPr>
          <w:p w:rsidR="00B42EF6" w:rsidRDefault="00B42EF6">
            <w:pPr>
              <w:pStyle w:val="TableParagraph"/>
              <w:rPr>
                <w:rFonts w:ascii="Times New Roman"/>
                <w:sz w:val="20"/>
              </w:rPr>
            </w:pPr>
          </w:p>
        </w:tc>
        <w:tc>
          <w:tcPr>
            <w:tcW w:w="921" w:type="dxa"/>
            <w:tcBorders>
              <w:bottom w:val="single" w:sz="4" w:space="0" w:color="000000"/>
            </w:tcBorders>
          </w:tcPr>
          <w:p w:rsidR="00B42EF6" w:rsidRDefault="004565EA">
            <w:pPr>
              <w:pStyle w:val="TableParagraph"/>
              <w:spacing w:line="229" w:lineRule="exact"/>
              <w:ind w:left="471"/>
              <w:rPr>
                <w:b/>
                <w:sz w:val="20"/>
              </w:rPr>
            </w:pPr>
            <w:r>
              <w:rPr>
                <w:b/>
                <w:w w:val="97"/>
                <w:sz w:val="20"/>
              </w:rPr>
              <w:t>n</w:t>
            </w:r>
          </w:p>
        </w:tc>
        <w:tc>
          <w:tcPr>
            <w:tcW w:w="835" w:type="dxa"/>
            <w:tcBorders>
              <w:bottom w:val="single" w:sz="4" w:space="0" w:color="000000"/>
            </w:tcBorders>
          </w:tcPr>
          <w:p w:rsidR="00B42EF6" w:rsidRDefault="004565EA">
            <w:pPr>
              <w:pStyle w:val="TableParagraph"/>
              <w:spacing w:line="229" w:lineRule="exact"/>
              <w:ind w:left="117"/>
              <w:rPr>
                <w:b/>
                <w:sz w:val="20"/>
              </w:rPr>
            </w:pPr>
            <w:r>
              <w:rPr>
                <w:b/>
                <w:w w:val="97"/>
                <w:sz w:val="20"/>
              </w:rPr>
              <w:t>%</w:t>
            </w:r>
          </w:p>
        </w:tc>
        <w:tc>
          <w:tcPr>
            <w:tcW w:w="695" w:type="dxa"/>
            <w:tcBorders>
              <w:bottom w:val="single" w:sz="4" w:space="0" w:color="000000"/>
            </w:tcBorders>
          </w:tcPr>
          <w:p w:rsidR="00B42EF6" w:rsidRDefault="004565EA">
            <w:pPr>
              <w:pStyle w:val="TableParagraph"/>
              <w:spacing w:line="229" w:lineRule="exact"/>
              <w:ind w:left="331"/>
              <w:rPr>
                <w:b/>
                <w:sz w:val="20"/>
              </w:rPr>
            </w:pPr>
            <w:r>
              <w:rPr>
                <w:b/>
                <w:w w:val="97"/>
                <w:sz w:val="20"/>
              </w:rPr>
              <w:t>n</w:t>
            </w:r>
          </w:p>
        </w:tc>
        <w:tc>
          <w:tcPr>
            <w:tcW w:w="833" w:type="dxa"/>
            <w:tcBorders>
              <w:bottom w:val="single" w:sz="4" w:space="0" w:color="000000"/>
            </w:tcBorders>
          </w:tcPr>
          <w:p w:rsidR="00B42EF6" w:rsidRDefault="004565EA">
            <w:pPr>
              <w:pStyle w:val="TableParagraph"/>
              <w:spacing w:line="229" w:lineRule="exact"/>
              <w:ind w:left="142"/>
              <w:rPr>
                <w:b/>
                <w:sz w:val="20"/>
              </w:rPr>
            </w:pPr>
            <w:r>
              <w:rPr>
                <w:b/>
                <w:w w:val="97"/>
                <w:sz w:val="20"/>
              </w:rPr>
              <w:t>%</w:t>
            </w:r>
          </w:p>
        </w:tc>
        <w:tc>
          <w:tcPr>
            <w:tcW w:w="877" w:type="dxa"/>
            <w:tcBorders>
              <w:bottom w:val="single" w:sz="4" w:space="0" w:color="000000"/>
            </w:tcBorders>
          </w:tcPr>
          <w:p w:rsidR="00B42EF6" w:rsidRDefault="004565EA">
            <w:pPr>
              <w:pStyle w:val="TableParagraph"/>
              <w:spacing w:line="229" w:lineRule="exact"/>
              <w:ind w:left="303"/>
              <w:rPr>
                <w:b/>
                <w:sz w:val="20"/>
              </w:rPr>
            </w:pPr>
            <w:r>
              <w:rPr>
                <w:b/>
                <w:w w:val="97"/>
                <w:sz w:val="20"/>
              </w:rPr>
              <w:t>n</w:t>
            </w:r>
          </w:p>
        </w:tc>
        <w:tc>
          <w:tcPr>
            <w:tcW w:w="2340" w:type="dxa"/>
            <w:tcBorders>
              <w:bottom w:val="single" w:sz="4" w:space="0" w:color="000000"/>
            </w:tcBorders>
          </w:tcPr>
          <w:p w:rsidR="00B42EF6" w:rsidRDefault="004565EA">
            <w:pPr>
              <w:pStyle w:val="TableParagraph"/>
              <w:spacing w:line="229" w:lineRule="exact"/>
              <w:ind w:left="242"/>
              <w:rPr>
                <w:b/>
                <w:sz w:val="20"/>
              </w:rPr>
            </w:pPr>
            <w:r>
              <w:rPr>
                <w:b/>
                <w:w w:val="97"/>
                <w:sz w:val="20"/>
              </w:rPr>
              <w:t>%</w:t>
            </w:r>
          </w:p>
        </w:tc>
      </w:tr>
      <w:tr w:rsidR="00B42EF6">
        <w:trPr>
          <w:trHeight w:val="449"/>
        </w:trPr>
        <w:tc>
          <w:tcPr>
            <w:tcW w:w="2003" w:type="dxa"/>
            <w:tcBorders>
              <w:top w:val="single" w:sz="4" w:space="0" w:color="000000"/>
            </w:tcBorders>
          </w:tcPr>
          <w:p w:rsidR="00B42EF6" w:rsidRDefault="004565EA">
            <w:pPr>
              <w:pStyle w:val="TableParagraph"/>
              <w:spacing w:before="107"/>
              <w:ind w:right="531"/>
              <w:jc w:val="right"/>
              <w:rPr>
                <w:sz w:val="20"/>
              </w:rPr>
            </w:pPr>
            <w:r>
              <w:rPr>
                <w:sz w:val="20"/>
              </w:rPr>
              <w:t>≤ 29</w:t>
            </w:r>
          </w:p>
        </w:tc>
        <w:tc>
          <w:tcPr>
            <w:tcW w:w="921" w:type="dxa"/>
            <w:tcBorders>
              <w:top w:val="single" w:sz="4" w:space="0" w:color="000000"/>
            </w:tcBorders>
          </w:tcPr>
          <w:p w:rsidR="00B42EF6" w:rsidRDefault="004565EA">
            <w:pPr>
              <w:pStyle w:val="TableParagraph"/>
              <w:spacing w:before="107"/>
              <w:ind w:left="471"/>
              <w:rPr>
                <w:sz w:val="20"/>
              </w:rPr>
            </w:pPr>
            <w:r>
              <w:rPr>
                <w:w w:val="96"/>
                <w:sz w:val="20"/>
              </w:rPr>
              <w:t>8</w:t>
            </w:r>
          </w:p>
        </w:tc>
        <w:tc>
          <w:tcPr>
            <w:tcW w:w="835" w:type="dxa"/>
            <w:tcBorders>
              <w:top w:val="single" w:sz="4" w:space="0" w:color="000000"/>
            </w:tcBorders>
          </w:tcPr>
          <w:p w:rsidR="00B42EF6" w:rsidRDefault="004565EA">
            <w:pPr>
              <w:pStyle w:val="TableParagraph"/>
              <w:spacing w:before="107"/>
              <w:ind w:left="117"/>
              <w:rPr>
                <w:sz w:val="20"/>
              </w:rPr>
            </w:pPr>
            <w:r>
              <w:rPr>
                <w:sz w:val="20"/>
              </w:rPr>
              <w:t>3.7</w:t>
            </w:r>
          </w:p>
        </w:tc>
        <w:tc>
          <w:tcPr>
            <w:tcW w:w="695" w:type="dxa"/>
            <w:tcBorders>
              <w:top w:val="single" w:sz="4" w:space="0" w:color="000000"/>
            </w:tcBorders>
          </w:tcPr>
          <w:p w:rsidR="00B42EF6" w:rsidRDefault="004565EA">
            <w:pPr>
              <w:pStyle w:val="TableParagraph"/>
              <w:spacing w:before="107"/>
              <w:ind w:left="331"/>
              <w:rPr>
                <w:sz w:val="20"/>
              </w:rPr>
            </w:pPr>
            <w:r>
              <w:rPr>
                <w:w w:val="96"/>
                <w:sz w:val="20"/>
              </w:rPr>
              <w:t>8</w:t>
            </w:r>
          </w:p>
        </w:tc>
        <w:tc>
          <w:tcPr>
            <w:tcW w:w="833" w:type="dxa"/>
            <w:tcBorders>
              <w:top w:val="single" w:sz="4" w:space="0" w:color="000000"/>
            </w:tcBorders>
          </w:tcPr>
          <w:p w:rsidR="00B42EF6" w:rsidRDefault="004565EA">
            <w:pPr>
              <w:pStyle w:val="TableParagraph"/>
              <w:spacing w:before="107"/>
              <w:ind w:left="142"/>
              <w:rPr>
                <w:sz w:val="20"/>
              </w:rPr>
            </w:pPr>
            <w:r>
              <w:rPr>
                <w:sz w:val="20"/>
              </w:rPr>
              <w:t>0.9</w:t>
            </w:r>
          </w:p>
        </w:tc>
        <w:tc>
          <w:tcPr>
            <w:tcW w:w="877" w:type="dxa"/>
            <w:tcBorders>
              <w:top w:val="single" w:sz="4" w:space="0" w:color="000000"/>
            </w:tcBorders>
          </w:tcPr>
          <w:p w:rsidR="00B42EF6" w:rsidRDefault="004565EA">
            <w:pPr>
              <w:pStyle w:val="TableParagraph"/>
              <w:spacing w:before="107"/>
              <w:ind w:left="303"/>
              <w:rPr>
                <w:sz w:val="20"/>
              </w:rPr>
            </w:pPr>
            <w:r>
              <w:rPr>
                <w:sz w:val="20"/>
              </w:rPr>
              <w:t>10</w:t>
            </w:r>
          </w:p>
        </w:tc>
        <w:tc>
          <w:tcPr>
            <w:tcW w:w="2340" w:type="dxa"/>
            <w:tcBorders>
              <w:top w:val="single" w:sz="4" w:space="0" w:color="000000"/>
            </w:tcBorders>
          </w:tcPr>
          <w:p w:rsidR="00B42EF6" w:rsidRDefault="004565EA">
            <w:pPr>
              <w:pStyle w:val="TableParagraph"/>
              <w:spacing w:before="107"/>
              <w:ind w:left="242"/>
              <w:rPr>
                <w:sz w:val="20"/>
              </w:rPr>
            </w:pPr>
            <w:r>
              <w:rPr>
                <w:sz w:val="20"/>
              </w:rPr>
              <w:t>4.7</w:t>
            </w:r>
          </w:p>
        </w:tc>
      </w:tr>
      <w:tr w:rsidR="00B42EF6">
        <w:trPr>
          <w:trHeight w:val="452"/>
        </w:trPr>
        <w:tc>
          <w:tcPr>
            <w:tcW w:w="2003" w:type="dxa"/>
          </w:tcPr>
          <w:p w:rsidR="00B42EF6" w:rsidRDefault="004565EA">
            <w:pPr>
              <w:pStyle w:val="TableParagraph"/>
              <w:spacing w:before="104"/>
              <w:ind w:right="469"/>
              <w:jc w:val="right"/>
              <w:rPr>
                <w:sz w:val="20"/>
              </w:rPr>
            </w:pPr>
            <w:r>
              <w:rPr>
                <w:w w:val="90"/>
                <w:sz w:val="20"/>
              </w:rPr>
              <w:t>30-39</w:t>
            </w:r>
          </w:p>
        </w:tc>
        <w:tc>
          <w:tcPr>
            <w:tcW w:w="921" w:type="dxa"/>
          </w:tcPr>
          <w:p w:rsidR="00B42EF6" w:rsidRDefault="004565EA">
            <w:pPr>
              <w:pStyle w:val="TableParagraph"/>
              <w:spacing w:before="104"/>
              <w:ind w:left="471"/>
              <w:rPr>
                <w:sz w:val="20"/>
              </w:rPr>
            </w:pPr>
            <w:r>
              <w:rPr>
                <w:sz w:val="20"/>
              </w:rPr>
              <w:t>93</w:t>
            </w:r>
          </w:p>
        </w:tc>
        <w:tc>
          <w:tcPr>
            <w:tcW w:w="835" w:type="dxa"/>
          </w:tcPr>
          <w:p w:rsidR="00B42EF6" w:rsidRDefault="004565EA">
            <w:pPr>
              <w:pStyle w:val="TableParagraph"/>
              <w:spacing w:before="104"/>
              <w:ind w:left="117"/>
              <w:rPr>
                <w:sz w:val="20"/>
              </w:rPr>
            </w:pPr>
            <w:r>
              <w:rPr>
                <w:sz w:val="20"/>
              </w:rPr>
              <w:t>43.5</w:t>
            </w:r>
          </w:p>
        </w:tc>
        <w:tc>
          <w:tcPr>
            <w:tcW w:w="695" w:type="dxa"/>
          </w:tcPr>
          <w:p w:rsidR="00B42EF6" w:rsidRDefault="004565EA">
            <w:pPr>
              <w:pStyle w:val="TableParagraph"/>
              <w:spacing w:before="104"/>
              <w:ind w:left="331"/>
              <w:rPr>
                <w:sz w:val="20"/>
              </w:rPr>
            </w:pPr>
            <w:r>
              <w:rPr>
                <w:sz w:val="20"/>
              </w:rPr>
              <w:t>15</w:t>
            </w:r>
          </w:p>
        </w:tc>
        <w:tc>
          <w:tcPr>
            <w:tcW w:w="833" w:type="dxa"/>
          </w:tcPr>
          <w:p w:rsidR="00B42EF6" w:rsidRDefault="004565EA">
            <w:pPr>
              <w:pStyle w:val="TableParagraph"/>
              <w:spacing w:before="104"/>
              <w:ind w:left="142"/>
              <w:rPr>
                <w:sz w:val="20"/>
              </w:rPr>
            </w:pPr>
            <w:r>
              <w:rPr>
                <w:sz w:val="20"/>
              </w:rPr>
              <w:t>7.0</w:t>
            </w:r>
          </w:p>
        </w:tc>
        <w:tc>
          <w:tcPr>
            <w:tcW w:w="877" w:type="dxa"/>
          </w:tcPr>
          <w:p w:rsidR="00B42EF6" w:rsidRDefault="004565EA">
            <w:pPr>
              <w:pStyle w:val="TableParagraph"/>
              <w:spacing w:before="104"/>
              <w:ind w:left="303"/>
              <w:rPr>
                <w:sz w:val="20"/>
              </w:rPr>
            </w:pPr>
            <w:r>
              <w:rPr>
                <w:sz w:val="20"/>
              </w:rPr>
              <w:t>108</w:t>
            </w:r>
          </w:p>
        </w:tc>
        <w:tc>
          <w:tcPr>
            <w:tcW w:w="2340" w:type="dxa"/>
          </w:tcPr>
          <w:p w:rsidR="00B42EF6" w:rsidRDefault="004565EA">
            <w:pPr>
              <w:pStyle w:val="TableParagraph"/>
              <w:spacing w:before="104"/>
              <w:ind w:left="242"/>
              <w:rPr>
                <w:sz w:val="20"/>
              </w:rPr>
            </w:pPr>
            <w:r>
              <w:rPr>
                <w:sz w:val="20"/>
              </w:rPr>
              <w:t>50.5</w:t>
            </w:r>
          </w:p>
        </w:tc>
      </w:tr>
      <w:tr w:rsidR="00B42EF6">
        <w:trPr>
          <w:trHeight w:val="342"/>
        </w:trPr>
        <w:tc>
          <w:tcPr>
            <w:tcW w:w="2003" w:type="dxa"/>
          </w:tcPr>
          <w:p w:rsidR="00B42EF6" w:rsidRDefault="004565EA">
            <w:pPr>
              <w:pStyle w:val="TableParagraph"/>
              <w:spacing w:before="110" w:line="211" w:lineRule="exact"/>
              <w:ind w:right="469"/>
              <w:jc w:val="right"/>
              <w:rPr>
                <w:sz w:val="20"/>
              </w:rPr>
            </w:pPr>
            <w:r>
              <w:rPr>
                <w:w w:val="90"/>
                <w:sz w:val="20"/>
              </w:rPr>
              <w:t>40-49</w:t>
            </w:r>
          </w:p>
        </w:tc>
        <w:tc>
          <w:tcPr>
            <w:tcW w:w="921" w:type="dxa"/>
          </w:tcPr>
          <w:p w:rsidR="00B42EF6" w:rsidRDefault="004565EA">
            <w:pPr>
              <w:pStyle w:val="TableParagraph"/>
              <w:spacing w:before="110" w:line="211" w:lineRule="exact"/>
              <w:ind w:left="471"/>
              <w:rPr>
                <w:sz w:val="20"/>
              </w:rPr>
            </w:pPr>
            <w:r>
              <w:rPr>
                <w:sz w:val="20"/>
              </w:rPr>
              <w:t>81</w:t>
            </w:r>
          </w:p>
        </w:tc>
        <w:tc>
          <w:tcPr>
            <w:tcW w:w="835" w:type="dxa"/>
          </w:tcPr>
          <w:p w:rsidR="00B42EF6" w:rsidRDefault="004565EA">
            <w:pPr>
              <w:pStyle w:val="TableParagraph"/>
              <w:spacing w:before="110" w:line="211" w:lineRule="exact"/>
              <w:ind w:left="117"/>
              <w:rPr>
                <w:sz w:val="20"/>
              </w:rPr>
            </w:pPr>
            <w:r>
              <w:rPr>
                <w:sz w:val="20"/>
              </w:rPr>
              <w:t>37.9</w:t>
            </w:r>
          </w:p>
        </w:tc>
        <w:tc>
          <w:tcPr>
            <w:tcW w:w="695" w:type="dxa"/>
          </w:tcPr>
          <w:p w:rsidR="00B42EF6" w:rsidRDefault="004565EA">
            <w:pPr>
              <w:pStyle w:val="TableParagraph"/>
              <w:spacing w:before="110" w:line="211" w:lineRule="exact"/>
              <w:ind w:left="331"/>
              <w:rPr>
                <w:sz w:val="20"/>
              </w:rPr>
            </w:pPr>
            <w:r>
              <w:rPr>
                <w:w w:val="96"/>
                <w:sz w:val="20"/>
              </w:rPr>
              <w:t>6</w:t>
            </w:r>
          </w:p>
        </w:tc>
        <w:tc>
          <w:tcPr>
            <w:tcW w:w="833" w:type="dxa"/>
          </w:tcPr>
          <w:p w:rsidR="00B42EF6" w:rsidRDefault="004565EA">
            <w:pPr>
              <w:pStyle w:val="TableParagraph"/>
              <w:spacing w:before="110" w:line="211" w:lineRule="exact"/>
              <w:ind w:left="142"/>
              <w:rPr>
                <w:sz w:val="20"/>
              </w:rPr>
            </w:pPr>
            <w:r>
              <w:rPr>
                <w:sz w:val="20"/>
              </w:rPr>
              <w:t>2.8</w:t>
            </w:r>
          </w:p>
        </w:tc>
        <w:tc>
          <w:tcPr>
            <w:tcW w:w="877" w:type="dxa"/>
          </w:tcPr>
          <w:p w:rsidR="00B42EF6" w:rsidRDefault="004565EA">
            <w:pPr>
              <w:pStyle w:val="TableParagraph"/>
              <w:spacing w:before="110" w:line="211" w:lineRule="exact"/>
              <w:ind w:left="303"/>
              <w:rPr>
                <w:sz w:val="20"/>
              </w:rPr>
            </w:pPr>
            <w:r>
              <w:rPr>
                <w:sz w:val="20"/>
              </w:rPr>
              <w:t>87</w:t>
            </w:r>
          </w:p>
        </w:tc>
        <w:tc>
          <w:tcPr>
            <w:tcW w:w="2340" w:type="dxa"/>
          </w:tcPr>
          <w:p w:rsidR="00B42EF6" w:rsidRDefault="004565EA">
            <w:pPr>
              <w:pStyle w:val="TableParagraph"/>
              <w:spacing w:before="110" w:line="211" w:lineRule="exact"/>
              <w:ind w:left="242"/>
              <w:rPr>
                <w:sz w:val="20"/>
              </w:rPr>
            </w:pPr>
            <w:r>
              <w:rPr>
                <w:sz w:val="20"/>
              </w:rPr>
              <w:t>40.7</w:t>
            </w:r>
          </w:p>
        </w:tc>
      </w:tr>
      <w:tr w:rsidR="00B42EF6">
        <w:trPr>
          <w:trHeight w:val="226"/>
        </w:trPr>
        <w:tc>
          <w:tcPr>
            <w:tcW w:w="2003" w:type="dxa"/>
          </w:tcPr>
          <w:p w:rsidR="00B42EF6" w:rsidRDefault="00B42EF6">
            <w:pPr>
              <w:pStyle w:val="TableParagraph"/>
              <w:rPr>
                <w:rFonts w:ascii="Times New Roman"/>
                <w:sz w:val="16"/>
              </w:rPr>
            </w:pPr>
          </w:p>
        </w:tc>
        <w:tc>
          <w:tcPr>
            <w:tcW w:w="921" w:type="dxa"/>
          </w:tcPr>
          <w:p w:rsidR="00B42EF6" w:rsidRDefault="00B42EF6">
            <w:pPr>
              <w:pStyle w:val="TableParagraph"/>
              <w:rPr>
                <w:rFonts w:ascii="Times New Roman"/>
                <w:sz w:val="16"/>
              </w:rPr>
            </w:pPr>
          </w:p>
        </w:tc>
        <w:tc>
          <w:tcPr>
            <w:tcW w:w="835" w:type="dxa"/>
          </w:tcPr>
          <w:p w:rsidR="00B42EF6" w:rsidRDefault="00B42EF6">
            <w:pPr>
              <w:pStyle w:val="TableParagraph"/>
              <w:rPr>
                <w:rFonts w:ascii="Times New Roman"/>
                <w:sz w:val="16"/>
              </w:rPr>
            </w:pPr>
          </w:p>
        </w:tc>
        <w:tc>
          <w:tcPr>
            <w:tcW w:w="695" w:type="dxa"/>
          </w:tcPr>
          <w:p w:rsidR="00B42EF6" w:rsidRDefault="00B42EF6">
            <w:pPr>
              <w:pStyle w:val="TableParagraph"/>
              <w:rPr>
                <w:rFonts w:ascii="Times New Roman"/>
                <w:sz w:val="16"/>
              </w:rPr>
            </w:pPr>
          </w:p>
        </w:tc>
        <w:tc>
          <w:tcPr>
            <w:tcW w:w="833" w:type="dxa"/>
          </w:tcPr>
          <w:p w:rsidR="00B42EF6" w:rsidRDefault="00B42EF6">
            <w:pPr>
              <w:pStyle w:val="TableParagraph"/>
              <w:rPr>
                <w:rFonts w:ascii="Times New Roman"/>
                <w:sz w:val="16"/>
              </w:rPr>
            </w:pPr>
          </w:p>
        </w:tc>
        <w:tc>
          <w:tcPr>
            <w:tcW w:w="877" w:type="dxa"/>
          </w:tcPr>
          <w:p w:rsidR="00B42EF6" w:rsidRDefault="00B42EF6">
            <w:pPr>
              <w:pStyle w:val="TableParagraph"/>
              <w:rPr>
                <w:rFonts w:ascii="Times New Roman"/>
                <w:sz w:val="16"/>
              </w:rPr>
            </w:pPr>
          </w:p>
        </w:tc>
        <w:tc>
          <w:tcPr>
            <w:tcW w:w="2340" w:type="dxa"/>
          </w:tcPr>
          <w:p w:rsidR="00B42EF6" w:rsidRDefault="004565EA">
            <w:pPr>
              <w:pStyle w:val="TableParagraph"/>
              <w:spacing w:line="207" w:lineRule="exact"/>
              <w:ind w:left="1183"/>
              <w:rPr>
                <w:sz w:val="20"/>
              </w:rPr>
            </w:pPr>
            <w:r>
              <w:rPr>
                <w:sz w:val="20"/>
              </w:rPr>
              <w:t>0.067</w:t>
            </w:r>
          </w:p>
        </w:tc>
      </w:tr>
      <w:tr w:rsidR="00B42EF6">
        <w:trPr>
          <w:trHeight w:val="340"/>
        </w:trPr>
        <w:tc>
          <w:tcPr>
            <w:tcW w:w="2003" w:type="dxa"/>
          </w:tcPr>
          <w:p w:rsidR="00B42EF6" w:rsidRDefault="004565EA">
            <w:pPr>
              <w:pStyle w:val="TableParagraph"/>
              <w:spacing w:line="225" w:lineRule="exact"/>
              <w:ind w:right="469"/>
              <w:jc w:val="right"/>
              <w:rPr>
                <w:sz w:val="20"/>
              </w:rPr>
            </w:pPr>
            <w:r>
              <w:rPr>
                <w:w w:val="90"/>
                <w:sz w:val="20"/>
              </w:rPr>
              <w:t>50-60</w:t>
            </w:r>
          </w:p>
        </w:tc>
        <w:tc>
          <w:tcPr>
            <w:tcW w:w="921" w:type="dxa"/>
          </w:tcPr>
          <w:p w:rsidR="00B42EF6" w:rsidRDefault="004565EA">
            <w:pPr>
              <w:pStyle w:val="TableParagraph"/>
              <w:spacing w:line="225" w:lineRule="exact"/>
              <w:ind w:left="471"/>
              <w:rPr>
                <w:sz w:val="20"/>
              </w:rPr>
            </w:pPr>
            <w:r>
              <w:rPr>
                <w:w w:val="96"/>
                <w:sz w:val="20"/>
              </w:rPr>
              <w:t>6</w:t>
            </w:r>
          </w:p>
        </w:tc>
        <w:tc>
          <w:tcPr>
            <w:tcW w:w="835" w:type="dxa"/>
          </w:tcPr>
          <w:p w:rsidR="00B42EF6" w:rsidRDefault="004565EA">
            <w:pPr>
              <w:pStyle w:val="TableParagraph"/>
              <w:spacing w:line="225" w:lineRule="exact"/>
              <w:ind w:left="117"/>
              <w:rPr>
                <w:sz w:val="20"/>
              </w:rPr>
            </w:pPr>
            <w:r>
              <w:rPr>
                <w:sz w:val="20"/>
              </w:rPr>
              <w:t>2.8</w:t>
            </w:r>
          </w:p>
        </w:tc>
        <w:tc>
          <w:tcPr>
            <w:tcW w:w="695" w:type="dxa"/>
          </w:tcPr>
          <w:p w:rsidR="00B42EF6" w:rsidRDefault="004565EA">
            <w:pPr>
              <w:pStyle w:val="TableParagraph"/>
              <w:spacing w:line="225" w:lineRule="exact"/>
              <w:ind w:left="331"/>
              <w:rPr>
                <w:sz w:val="20"/>
              </w:rPr>
            </w:pPr>
            <w:r>
              <w:rPr>
                <w:w w:val="96"/>
                <w:sz w:val="20"/>
              </w:rPr>
              <w:t>0</w:t>
            </w:r>
          </w:p>
        </w:tc>
        <w:tc>
          <w:tcPr>
            <w:tcW w:w="833" w:type="dxa"/>
          </w:tcPr>
          <w:p w:rsidR="00B42EF6" w:rsidRDefault="004565EA">
            <w:pPr>
              <w:pStyle w:val="TableParagraph"/>
              <w:spacing w:line="225" w:lineRule="exact"/>
              <w:ind w:left="142"/>
              <w:rPr>
                <w:sz w:val="20"/>
              </w:rPr>
            </w:pPr>
            <w:r>
              <w:rPr>
                <w:sz w:val="20"/>
              </w:rPr>
              <w:t>0.0</w:t>
            </w:r>
          </w:p>
        </w:tc>
        <w:tc>
          <w:tcPr>
            <w:tcW w:w="877" w:type="dxa"/>
          </w:tcPr>
          <w:p w:rsidR="00B42EF6" w:rsidRDefault="004565EA">
            <w:pPr>
              <w:pStyle w:val="TableParagraph"/>
              <w:spacing w:line="225" w:lineRule="exact"/>
              <w:ind w:left="303"/>
              <w:rPr>
                <w:sz w:val="20"/>
              </w:rPr>
            </w:pPr>
            <w:r>
              <w:rPr>
                <w:w w:val="96"/>
                <w:sz w:val="20"/>
              </w:rPr>
              <w:t>6</w:t>
            </w:r>
          </w:p>
        </w:tc>
        <w:tc>
          <w:tcPr>
            <w:tcW w:w="2340" w:type="dxa"/>
          </w:tcPr>
          <w:p w:rsidR="00B42EF6" w:rsidRDefault="004565EA">
            <w:pPr>
              <w:pStyle w:val="TableParagraph"/>
              <w:spacing w:line="225" w:lineRule="exact"/>
              <w:ind w:left="242"/>
              <w:rPr>
                <w:sz w:val="20"/>
              </w:rPr>
            </w:pPr>
            <w:r>
              <w:rPr>
                <w:sz w:val="20"/>
              </w:rPr>
              <w:t>2.8</w:t>
            </w:r>
          </w:p>
        </w:tc>
      </w:tr>
      <w:tr w:rsidR="00B42EF6">
        <w:trPr>
          <w:trHeight w:val="451"/>
        </w:trPr>
        <w:tc>
          <w:tcPr>
            <w:tcW w:w="2003" w:type="dxa"/>
          </w:tcPr>
          <w:p w:rsidR="00B42EF6" w:rsidRDefault="004565EA">
            <w:pPr>
              <w:pStyle w:val="TableParagraph"/>
              <w:spacing w:before="108"/>
              <w:ind w:right="531"/>
              <w:jc w:val="right"/>
              <w:rPr>
                <w:sz w:val="20"/>
              </w:rPr>
            </w:pPr>
            <w:r>
              <w:rPr>
                <w:sz w:val="20"/>
              </w:rPr>
              <w:t>≥ 60</w:t>
            </w:r>
          </w:p>
        </w:tc>
        <w:tc>
          <w:tcPr>
            <w:tcW w:w="921" w:type="dxa"/>
          </w:tcPr>
          <w:p w:rsidR="00B42EF6" w:rsidRDefault="004565EA">
            <w:pPr>
              <w:pStyle w:val="TableParagraph"/>
              <w:spacing w:before="108"/>
              <w:ind w:left="471"/>
              <w:rPr>
                <w:sz w:val="20"/>
              </w:rPr>
            </w:pPr>
            <w:r>
              <w:rPr>
                <w:w w:val="96"/>
                <w:sz w:val="20"/>
              </w:rPr>
              <w:t>2</w:t>
            </w:r>
          </w:p>
        </w:tc>
        <w:tc>
          <w:tcPr>
            <w:tcW w:w="835" w:type="dxa"/>
          </w:tcPr>
          <w:p w:rsidR="00B42EF6" w:rsidRDefault="004565EA">
            <w:pPr>
              <w:pStyle w:val="TableParagraph"/>
              <w:spacing w:before="108"/>
              <w:ind w:left="117"/>
              <w:rPr>
                <w:sz w:val="20"/>
              </w:rPr>
            </w:pPr>
            <w:r>
              <w:rPr>
                <w:sz w:val="20"/>
              </w:rPr>
              <w:t>0.9</w:t>
            </w:r>
          </w:p>
        </w:tc>
        <w:tc>
          <w:tcPr>
            <w:tcW w:w="695" w:type="dxa"/>
          </w:tcPr>
          <w:p w:rsidR="00B42EF6" w:rsidRDefault="004565EA">
            <w:pPr>
              <w:pStyle w:val="TableParagraph"/>
              <w:spacing w:before="108"/>
              <w:ind w:left="331"/>
              <w:rPr>
                <w:sz w:val="20"/>
              </w:rPr>
            </w:pPr>
            <w:r>
              <w:rPr>
                <w:w w:val="96"/>
                <w:sz w:val="20"/>
              </w:rPr>
              <w:t>1</w:t>
            </w:r>
          </w:p>
        </w:tc>
        <w:tc>
          <w:tcPr>
            <w:tcW w:w="833" w:type="dxa"/>
          </w:tcPr>
          <w:p w:rsidR="00B42EF6" w:rsidRDefault="004565EA">
            <w:pPr>
              <w:pStyle w:val="TableParagraph"/>
              <w:spacing w:before="108"/>
              <w:ind w:left="142"/>
              <w:rPr>
                <w:sz w:val="20"/>
              </w:rPr>
            </w:pPr>
            <w:r>
              <w:rPr>
                <w:sz w:val="20"/>
              </w:rPr>
              <w:t>0.5</w:t>
            </w:r>
          </w:p>
        </w:tc>
        <w:tc>
          <w:tcPr>
            <w:tcW w:w="877" w:type="dxa"/>
          </w:tcPr>
          <w:p w:rsidR="00B42EF6" w:rsidRDefault="004565EA">
            <w:pPr>
              <w:pStyle w:val="TableParagraph"/>
              <w:spacing w:before="108"/>
              <w:ind w:left="303"/>
              <w:rPr>
                <w:sz w:val="20"/>
              </w:rPr>
            </w:pPr>
            <w:r>
              <w:rPr>
                <w:w w:val="96"/>
                <w:sz w:val="20"/>
              </w:rPr>
              <w:t>3</w:t>
            </w:r>
          </w:p>
        </w:tc>
        <w:tc>
          <w:tcPr>
            <w:tcW w:w="2340" w:type="dxa"/>
          </w:tcPr>
          <w:p w:rsidR="00B42EF6" w:rsidRDefault="004565EA">
            <w:pPr>
              <w:pStyle w:val="TableParagraph"/>
              <w:spacing w:before="108"/>
              <w:ind w:left="242"/>
              <w:rPr>
                <w:sz w:val="20"/>
              </w:rPr>
            </w:pPr>
            <w:r>
              <w:rPr>
                <w:sz w:val="20"/>
              </w:rPr>
              <w:t>1.4</w:t>
            </w:r>
          </w:p>
        </w:tc>
      </w:tr>
      <w:tr w:rsidR="00B42EF6">
        <w:trPr>
          <w:trHeight w:val="461"/>
        </w:trPr>
        <w:tc>
          <w:tcPr>
            <w:tcW w:w="2003" w:type="dxa"/>
            <w:tcBorders>
              <w:bottom w:val="single" w:sz="6" w:space="0" w:color="000000"/>
            </w:tcBorders>
          </w:tcPr>
          <w:p w:rsidR="00B42EF6" w:rsidRDefault="004565EA">
            <w:pPr>
              <w:pStyle w:val="TableParagraph"/>
              <w:spacing w:before="106"/>
              <w:ind w:right="508"/>
              <w:jc w:val="right"/>
              <w:rPr>
                <w:b/>
                <w:sz w:val="20"/>
              </w:rPr>
            </w:pPr>
            <w:r>
              <w:rPr>
                <w:b/>
                <w:sz w:val="20"/>
              </w:rPr>
              <w:t>Total</w:t>
            </w:r>
          </w:p>
        </w:tc>
        <w:tc>
          <w:tcPr>
            <w:tcW w:w="921" w:type="dxa"/>
            <w:tcBorders>
              <w:bottom w:val="single" w:sz="6" w:space="0" w:color="000000"/>
            </w:tcBorders>
          </w:tcPr>
          <w:p w:rsidR="00B42EF6" w:rsidRDefault="004565EA">
            <w:pPr>
              <w:pStyle w:val="TableParagraph"/>
              <w:spacing w:before="110"/>
              <w:ind w:left="471"/>
              <w:rPr>
                <w:sz w:val="20"/>
              </w:rPr>
            </w:pPr>
            <w:r>
              <w:rPr>
                <w:sz w:val="20"/>
              </w:rPr>
              <w:t>190</w:t>
            </w:r>
          </w:p>
        </w:tc>
        <w:tc>
          <w:tcPr>
            <w:tcW w:w="835" w:type="dxa"/>
            <w:tcBorders>
              <w:bottom w:val="single" w:sz="6" w:space="0" w:color="000000"/>
            </w:tcBorders>
          </w:tcPr>
          <w:p w:rsidR="00B42EF6" w:rsidRDefault="004565EA">
            <w:pPr>
              <w:pStyle w:val="TableParagraph"/>
              <w:spacing w:before="110"/>
              <w:ind w:left="117"/>
              <w:rPr>
                <w:sz w:val="20"/>
              </w:rPr>
            </w:pPr>
            <w:r>
              <w:rPr>
                <w:sz w:val="20"/>
              </w:rPr>
              <w:t>88.8</w:t>
            </w:r>
          </w:p>
        </w:tc>
        <w:tc>
          <w:tcPr>
            <w:tcW w:w="695" w:type="dxa"/>
            <w:tcBorders>
              <w:bottom w:val="single" w:sz="6" w:space="0" w:color="000000"/>
            </w:tcBorders>
          </w:tcPr>
          <w:p w:rsidR="00B42EF6" w:rsidRDefault="004565EA">
            <w:pPr>
              <w:pStyle w:val="TableParagraph"/>
              <w:spacing w:before="106"/>
              <w:ind w:left="331"/>
              <w:rPr>
                <w:b/>
                <w:sz w:val="20"/>
              </w:rPr>
            </w:pPr>
            <w:r>
              <w:rPr>
                <w:b/>
                <w:sz w:val="20"/>
              </w:rPr>
              <w:t>24</w:t>
            </w:r>
          </w:p>
        </w:tc>
        <w:tc>
          <w:tcPr>
            <w:tcW w:w="833" w:type="dxa"/>
            <w:tcBorders>
              <w:bottom w:val="single" w:sz="6" w:space="0" w:color="000000"/>
            </w:tcBorders>
          </w:tcPr>
          <w:p w:rsidR="00B42EF6" w:rsidRDefault="004565EA">
            <w:pPr>
              <w:pStyle w:val="TableParagraph"/>
              <w:spacing w:before="110"/>
              <w:ind w:left="142"/>
              <w:rPr>
                <w:sz w:val="20"/>
              </w:rPr>
            </w:pPr>
            <w:r>
              <w:rPr>
                <w:sz w:val="20"/>
              </w:rPr>
              <w:t>11.2</w:t>
            </w:r>
          </w:p>
        </w:tc>
        <w:tc>
          <w:tcPr>
            <w:tcW w:w="877" w:type="dxa"/>
            <w:tcBorders>
              <w:bottom w:val="single" w:sz="6" w:space="0" w:color="000000"/>
            </w:tcBorders>
          </w:tcPr>
          <w:p w:rsidR="00B42EF6" w:rsidRDefault="004565EA">
            <w:pPr>
              <w:pStyle w:val="TableParagraph"/>
              <w:spacing w:before="110"/>
              <w:ind w:left="303"/>
              <w:rPr>
                <w:sz w:val="20"/>
              </w:rPr>
            </w:pPr>
            <w:r>
              <w:rPr>
                <w:sz w:val="20"/>
              </w:rPr>
              <w:t>214</w:t>
            </w:r>
          </w:p>
        </w:tc>
        <w:tc>
          <w:tcPr>
            <w:tcW w:w="2340" w:type="dxa"/>
            <w:tcBorders>
              <w:bottom w:val="single" w:sz="6" w:space="0" w:color="000000"/>
            </w:tcBorders>
          </w:tcPr>
          <w:p w:rsidR="00B42EF6" w:rsidRDefault="004565EA">
            <w:pPr>
              <w:pStyle w:val="TableParagraph"/>
              <w:spacing w:before="110"/>
              <w:ind w:left="242"/>
              <w:rPr>
                <w:sz w:val="20"/>
              </w:rPr>
            </w:pPr>
            <w:r>
              <w:rPr>
                <w:sz w:val="20"/>
              </w:rPr>
              <w:t>100.0</w:t>
            </w:r>
          </w:p>
        </w:tc>
      </w:tr>
    </w:tbl>
    <w:p w:rsidR="00B42EF6" w:rsidRDefault="00B42EF6">
      <w:pPr>
        <w:pStyle w:val="Textoindependiente"/>
      </w:pPr>
    </w:p>
    <w:p w:rsidR="00B42EF6" w:rsidRDefault="004565EA">
      <w:pPr>
        <w:pStyle w:val="Ttulo3"/>
        <w:spacing w:before="196"/>
        <w:jc w:val="left"/>
      </w:pPr>
      <w:r>
        <w:t>Discusión</w:t>
      </w:r>
    </w:p>
    <w:p w:rsidR="00B42EF6" w:rsidRDefault="00B42EF6">
      <w:pPr>
        <w:pStyle w:val="Textoindependiente"/>
        <w:spacing w:before="6"/>
        <w:rPr>
          <w:b/>
          <w:sz w:val="20"/>
        </w:rPr>
      </w:pPr>
    </w:p>
    <w:p w:rsidR="00E04F50" w:rsidRPr="00E04F50" w:rsidRDefault="00E04F50" w:rsidP="00E04F50">
      <w:pPr>
        <w:widowControl/>
        <w:autoSpaceDE/>
        <w:autoSpaceDN/>
        <w:jc w:val="both"/>
        <w:rPr>
          <w:rFonts w:eastAsia="Times New Roman"/>
          <w:lang w:val="es-ES" w:eastAsia="es-ES" w:bidi="ar-SA"/>
        </w:rPr>
      </w:pPr>
      <w:r w:rsidRPr="00E04F50">
        <w:rPr>
          <w:rFonts w:eastAsia="Times New Roman"/>
          <w:lang w:val="es-ES" w:eastAsia="es-ES" w:bidi="ar-SA"/>
        </w:rPr>
        <w:t>La frecuencia del Virus del Papiloma Humano en mujeres de 30 a más años observada en la investigación fue de 11.2% (IC al 95% 0.076 – 0.161). Esta cifra aunque no considera la genotipificación corresponde a un comportamiento poblacional del VPH, mayor a la prevalencia de VPH (6, 11, 16, 18) del 8.4% reportada por Valderrama C. et al. (2007) en mujeres de 18 a 26 años</w:t>
      </w:r>
      <w:sdt>
        <w:sdtPr>
          <w:rPr>
            <w:rFonts w:eastAsia="Times New Roman"/>
            <w:lang w:val="es-ES" w:eastAsia="es-ES" w:bidi="ar-SA"/>
          </w:rPr>
          <w:id w:val="167880731"/>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Val07 \l 2058 </w:instrText>
          </w:r>
          <w:r w:rsidRPr="00E04F50">
            <w:rPr>
              <w:rFonts w:eastAsia="Times New Roman"/>
              <w:lang w:val="es-ES" w:eastAsia="es-ES" w:bidi="ar-SA"/>
            </w:rPr>
            <w:fldChar w:fldCharType="separate"/>
          </w:r>
          <w:r w:rsidRPr="00E04F50">
            <w:rPr>
              <w:rFonts w:eastAsia="Times New Roman"/>
              <w:noProof/>
              <w:lang w:val="es-MX" w:eastAsia="es-ES" w:bidi="ar-SA"/>
            </w:rPr>
            <w:t>(17)</w:t>
          </w:r>
          <w:r w:rsidRPr="00E04F50">
            <w:rPr>
              <w:rFonts w:eastAsia="Times New Roman"/>
              <w:lang w:val="es-ES" w:eastAsia="es-ES" w:bidi="ar-SA"/>
            </w:rPr>
            <w:fldChar w:fldCharType="end"/>
          </w:r>
        </w:sdtContent>
      </w:sdt>
      <w:r w:rsidRPr="00E04F50">
        <w:rPr>
          <w:rFonts w:eastAsia="Times New Roman"/>
          <w:lang w:val="es-ES" w:eastAsia="es-ES" w:bidi="ar-SA"/>
        </w:rPr>
        <w:t xml:space="preserve">; y mayor a la prevalencia de VPH (16, 18) a nivel global en el Perú </w:t>
      </w:r>
      <w:sdt>
        <w:sdtPr>
          <w:rPr>
            <w:rFonts w:eastAsia="Times New Roman"/>
            <w:lang w:val="es-ES" w:eastAsia="es-ES" w:bidi="ar-SA"/>
          </w:rPr>
          <w:id w:val="167880727"/>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HVP14 \l 2058 </w:instrText>
          </w:r>
          <w:r w:rsidRPr="00E04F50">
            <w:rPr>
              <w:rFonts w:eastAsia="Times New Roman"/>
              <w:lang w:val="es-ES" w:eastAsia="es-ES" w:bidi="ar-SA"/>
            </w:rPr>
            <w:fldChar w:fldCharType="separate"/>
          </w:r>
          <w:r w:rsidRPr="00E04F50">
            <w:rPr>
              <w:rFonts w:eastAsia="Times New Roman"/>
              <w:noProof/>
              <w:lang w:val="es-MX" w:eastAsia="es-ES" w:bidi="ar-SA"/>
            </w:rPr>
            <w:t>(6)</w:t>
          </w:r>
          <w:r w:rsidRPr="00E04F50">
            <w:rPr>
              <w:rFonts w:eastAsia="Times New Roman"/>
              <w:lang w:val="es-ES" w:eastAsia="es-ES" w:bidi="ar-SA"/>
            </w:rPr>
            <w:fldChar w:fldCharType="end"/>
          </w:r>
        </w:sdtContent>
      </w:sdt>
      <w:r w:rsidRPr="00E04F50">
        <w:rPr>
          <w:rFonts w:eastAsia="Times New Roman"/>
          <w:lang w:val="es-ES" w:eastAsia="es-ES" w:bidi="ar-SA"/>
        </w:rPr>
        <w:t>, mayor incluso al 6.0% de prevalencia poblacional estandarizada por edad reportada por Basu P. et al. (2013), en la India</w:t>
      </w:r>
      <w:sdt>
        <w:sdtPr>
          <w:rPr>
            <w:rFonts w:eastAsia="Times New Roman"/>
            <w:lang w:val="es-ES" w:eastAsia="es-ES" w:bidi="ar-SA"/>
          </w:rPr>
          <w:id w:val="167880729"/>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Bas13 \l 2058 </w:instrText>
          </w:r>
          <w:r w:rsidRPr="00E04F50">
            <w:rPr>
              <w:rFonts w:eastAsia="Times New Roman"/>
              <w:lang w:val="es-ES" w:eastAsia="es-ES" w:bidi="ar-SA"/>
            </w:rPr>
            <w:fldChar w:fldCharType="separate"/>
          </w:r>
          <w:r w:rsidRPr="00E04F50">
            <w:rPr>
              <w:rFonts w:eastAsia="Times New Roman"/>
              <w:noProof/>
              <w:lang w:val="es-MX" w:eastAsia="es-ES" w:bidi="ar-SA"/>
            </w:rPr>
            <w:t>(13)</w:t>
          </w:r>
          <w:r w:rsidRPr="00E04F50">
            <w:rPr>
              <w:rFonts w:eastAsia="Times New Roman"/>
              <w:lang w:val="es-ES" w:eastAsia="es-ES" w:bidi="ar-SA"/>
            </w:rPr>
            <w:fldChar w:fldCharType="end"/>
          </w:r>
        </w:sdtContent>
      </w:sdt>
      <w:r w:rsidRPr="00E04F50">
        <w:rPr>
          <w:rFonts w:eastAsia="Times New Roman"/>
          <w:lang w:val="es-ES" w:eastAsia="es-ES" w:bidi="ar-SA"/>
        </w:rPr>
        <w:t>, pero menor al 14.7% de prevalencia a la reportada por Cage J. et al. (2011) en mujeres de zonas rurales de Nigeria</w:t>
      </w:r>
      <w:sdt>
        <w:sdtPr>
          <w:rPr>
            <w:rFonts w:eastAsia="Times New Roman"/>
            <w:lang w:val="es-ES" w:eastAsia="es-ES" w:bidi="ar-SA"/>
          </w:rPr>
          <w:id w:val="167880730"/>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Gag \l 2058 </w:instrText>
          </w:r>
          <w:r w:rsidRPr="00E04F50">
            <w:rPr>
              <w:rFonts w:eastAsia="Times New Roman"/>
              <w:lang w:val="es-ES" w:eastAsia="es-ES" w:bidi="ar-SA"/>
            </w:rPr>
            <w:fldChar w:fldCharType="separate"/>
          </w:r>
          <w:r w:rsidRPr="00E04F50">
            <w:rPr>
              <w:rFonts w:eastAsia="Times New Roman"/>
              <w:noProof/>
              <w:lang w:val="es-MX" w:eastAsia="es-ES" w:bidi="ar-SA"/>
            </w:rPr>
            <w:t>(15)</w:t>
          </w:r>
          <w:r w:rsidRPr="00E04F50">
            <w:rPr>
              <w:rFonts w:eastAsia="Times New Roman"/>
              <w:lang w:val="es-ES" w:eastAsia="es-ES" w:bidi="ar-SA"/>
            </w:rPr>
            <w:fldChar w:fldCharType="end"/>
          </w:r>
        </w:sdtContent>
      </w:sdt>
      <w:r w:rsidRPr="00E04F50">
        <w:rPr>
          <w:rFonts w:eastAsia="Times New Roman"/>
          <w:lang w:val="es-ES" w:eastAsia="es-ES" w:bidi="ar-SA"/>
        </w:rPr>
        <w:t xml:space="preserve">. </w:t>
      </w:r>
    </w:p>
    <w:p w:rsidR="00E04F50" w:rsidRPr="00E04F50" w:rsidRDefault="00E04F50" w:rsidP="00E04F50">
      <w:pPr>
        <w:widowControl/>
        <w:autoSpaceDE/>
        <w:autoSpaceDN/>
        <w:jc w:val="both"/>
        <w:rPr>
          <w:rFonts w:eastAsia="Times New Roman"/>
          <w:lang w:val="es-ES" w:eastAsia="es-ES" w:bidi="ar-SA"/>
        </w:rPr>
      </w:pPr>
    </w:p>
    <w:p w:rsidR="00E04F50" w:rsidRPr="00E04F50" w:rsidRDefault="00E04F50" w:rsidP="00E04F50">
      <w:pPr>
        <w:widowControl/>
        <w:autoSpaceDE/>
        <w:autoSpaceDN/>
        <w:jc w:val="both"/>
        <w:rPr>
          <w:rFonts w:eastAsia="Times New Roman"/>
          <w:lang w:val="es-ES" w:eastAsia="es-ES" w:bidi="ar-SA"/>
        </w:rPr>
      </w:pPr>
      <w:r w:rsidRPr="00E04F50">
        <w:rPr>
          <w:rFonts w:eastAsia="Times New Roman"/>
          <w:lang w:val="es-ES" w:eastAsia="es-ES" w:bidi="ar-SA"/>
        </w:rPr>
        <w:lastRenderedPageBreak/>
        <w:t>Los hallazgos de la frecuencia de VPH en este grupo de mujeres son importantes a pesar de haber considerado un tamaño de muestra estandarizado mínimo, puesto que si se consideran tamaños de muestra máximos es decir con niveles de confianza mayores (99%) la prevalencia estimada no sólo contaría con mayor representatividad, sino que es posible encontrar prevalencias poblaciones de VPH mayores al reportado en la presente investigación.</w:t>
      </w:r>
    </w:p>
    <w:p w:rsidR="00E04F50" w:rsidRPr="00E04F50" w:rsidRDefault="00E04F50" w:rsidP="00E04F50">
      <w:pPr>
        <w:widowControl/>
        <w:autoSpaceDE/>
        <w:autoSpaceDN/>
        <w:jc w:val="both"/>
        <w:rPr>
          <w:rFonts w:eastAsia="Times New Roman"/>
          <w:lang w:val="es-ES" w:eastAsia="es-ES" w:bidi="ar-SA"/>
        </w:rPr>
      </w:pPr>
    </w:p>
    <w:p w:rsidR="00E04F50" w:rsidRPr="00E04F50" w:rsidRDefault="00E04F50" w:rsidP="00E04F50">
      <w:pPr>
        <w:widowControl/>
        <w:autoSpaceDE/>
        <w:autoSpaceDN/>
        <w:jc w:val="both"/>
        <w:rPr>
          <w:rFonts w:eastAsia="Times New Roman"/>
          <w:lang w:val="es-ES" w:eastAsia="es-ES" w:bidi="ar-SA"/>
        </w:rPr>
      </w:pPr>
      <w:r w:rsidRPr="00E04F50">
        <w:rPr>
          <w:rFonts w:eastAsia="Times New Roman"/>
          <w:lang w:val="es-ES" w:eastAsia="es-ES" w:bidi="ar-SA"/>
        </w:rPr>
        <w:t>La frecuencia del VPH, se observó mayor en el grupo de edad de 30 a 39 años, concentrado el 50.5% de los casos, seguidos por el grupo de 40 a 49 años con 40.7%, a pesar de ello esta observación no fue estadísticamente santificativa (p = 0.067); este comportamiento es similar a lo reportado por Rodríguez G. et al. (2014), en mujeres, cubanas donde el grupo de 40 a 49 años concentraba el 68.4% de casos de VPH</w:t>
      </w:r>
      <w:sdt>
        <w:sdtPr>
          <w:rPr>
            <w:rFonts w:eastAsia="Times New Roman"/>
            <w:lang w:val="es-ES" w:eastAsia="es-ES" w:bidi="ar-SA"/>
          </w:rPr>
          <w:id w:val="167880732"/>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Rod14 \l 2058 </w:instrText>
          </w:r>
          <w:r w:rsidRPr="00E04F50">
            <w:rPr>
              <w:rFonts w:eastAsia="Times New Roman"/>
              <w:lang w:val="es-ES" w:eastAsia="es-ES" w:bidi="ar-SA"/>
            </w:rPr>
            <w:fldChar w:fldCharType="separate"/>
          </w:r>
          <w:r w:rsidRPr="00E04F50">
            <w:rPr>
              <w:rFonts w:eastAsia="Times New Roman"/>
              <w:noProof/>
              <w:lang w:val="es-MX" w:eastAsia="es-ES" w:bidi="ar-SA"/>
            </w:rPr>
            <w:t>(10)</w:t>
          </w:r>
          <w:r w:rsidRPr="00E04F50">
            <w:rPr>
              <w:rFonts w:eastAsia="Times New Roman"/>
              <w:lang w:val="es-ES" w:eastAsia="es-ES" w:bidi="ar-SA"/>
            </w:rPr>
            <w:fldChar w:fldCharType="end"/>
          </w:r>
        </w:sdtContent>
      </w:sdt>
      <w:r w:rsidRPr="00E04F50">
        <w:rPr>
          <w:rFonts w:eastAsia="Times New Roman"/>
          <w:lang w:val="es-ES" w:eastAsia="es-ES" w:bidi="ar-SA"/>
        </w:rPr>
        <w:t>.</w:t>
      </w:r>
    </w:p>
    <w:p w:rsidR="00E04F50" w:rsidRPr="00E04F50" w:rsidRDefault="00E04F50" w:rsidP="00E04F50">
      <w:pPr>
        <w:widowControl/>
        <w:autoSpaceDE/>
        <w:autoSpaceDN/>
        <w:jc w:val="both"/>
        <w:rPr>
          <w:rFonts w:eastAsia="Times New Roman"/>
          <w:lang w:val="es-ES" w:eastAsia="es-ES" w:bidi="ar-SA"/>
        </w:rPr>
      </w:pPr>
    </w:p>
    <w:p w:rsidR="00E04F50" w:rsidRPr="00E04F50" w:rsidRDefault="00E04F50" w:rsidP="00E04F50">
      <w:pPr>
        <w:widowControl/>
        <w:autoSpaceDE/>
        <w:autoSpaceDN/>
        <w:jc w:val="both"/>
        <w:rPr>
          <w:rFonts w:eastAsia="Times New Roman"/>
          <w:lang w:val="es-ES" w:eastAsia="es-ES" w:bidi="ar-SA"/>
        </w:rPr>
      </w:pPr>
      <w:r w:rsidRPr="00E04F50">
        <w:rPr>
          <w:rFonts w:eastAsia="Times New Roman"/>
          <w:lang w:val="es-ES" w:eastAsia="es-ES" w:bidi="ar-SA"/>
        </w:rPr>
        <w:t>Los factores reproductivos estudiados, tales como la menarquía, edad de primer embarazo, paridad e historia de uso de anticonceptivos no mostraron asociación estadística santificativa (véase tabla N° 12). Sin embargo las edades de menarquía entre los 12 y 15 años concentran el 79.4% de los casos de VPH, mientras que el antecedente de embarazo adolescente entre los 14 y 19 años explicaban el 35.1% de los casos de VPH; y cuando las mujeres eran multíparas el VPH se presentó con una frecuencia de 74.6% en comparación a las primíparas y gran multíparas con 14.9% y 10.4% respectivamente, este hallazgo guarda relación con la literatura existente donde se ha verificado que la multiparidad conlleva un mayor riesgo (OR=3.59) para la aparición del cáncer cervicouterino</w:t>
      </w:r>
      <w:sdt>
        <w:sdtPr>
          <w:rPr>
            <w:rFonts w:eastAsia="Times New Roman"/>
            <w:lang w:val="es-ES" w:eastAsia="es-ES" w:bidi="ar-SA"/>
          </w:rPr>
          <w:id w:val="167881194"/>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Ama03 \l 2058 </w:instrText>
          </w:r>
          <w:r w:rsidRPr="00E04F50">
            <w:rPr>
              <w:rFonts w:eastAsia="Times New Roman"/>
              <w:lang w:val="es-ES" w:eastAsia="es-ES" w:bidi="ar-SA"/>
            </w:rPr>
            <w:fldChar w:fldCharType="separate"/>
          </w:r>
          <w:r w:rsidRPr="00E04F50">
            <w:rPr>
              <w:rFonts w:eastAsia="Times New Roman"/>
              <w:noProof/>
              <w:lang w:val="es-MX" w:eastAsia="es-ES" w:bidi="ar-SA"/>
            </w:rPr>
            <w:t>(18)</w:t>
          </w:r>
          <w:r w:rsidRPr="00E04F50">
            <w:rPr>
              <w:rFonts w:eastAsia="Times New Roman"/>
              <w:lang w:val="es-ES" w:eastAsia="es-ES" w:bidi="ar-SA"/>
            </w:rPr>
            <w:fldChar w:fldCharType="end"/>
          </w:r>
        </w:sdtContent>
      </w:sdt>
      <w:r w:rsidRPr="00E04F50">
        <w:rPr>
          <w:rFonts w:eastAsia="Times New Roman"/>
          <w:lang w:val="es-ES" w:eastAsia="es-ES" w:bidi="ar-SA"/>
        </w:rPr>
        <w:t>.</w:t>
      </w:r>
    </w:p>
    <w:p w:rsidR="00E04F50" w:rsidRPr="00E04F50" w:rsidRDefault="00E04F50" w:rsidP="00E04F50">
      <w:pPr>
        <w:widowControl/>
        <w:autoSpaceDE/>
        <w:autoSpaceDN/>
        <w:jc w:val="both"/>
        <w:rPr>
          <w:rFonts w:eastAsia="Times New Roman"/>
          <w:lang w:val="es-ES" w:eastAsia="es-ES" w:bidi="ar-SA"/>
        </w:rPr>
      </w:pPr>
    </w:p>
    <w:p w:rsidR="00E04F50" w:rsidRPr="00E04F50" w:rsidRDefault="00E04F50" w:rsidP="00E04F50">
      <w:pPr>
        <w:widowControl/>
        <w:autoSpaceDE/>
        <w:autoSpaceDN/>
        <w:jc w:val="both"/>
        <w:rPr>
          <w:rFonts w:eastAsia="Times New Roman"/>
          <w:lang w:val="es-ES" w:eastAsia="es-ES" w:bidi="ar-SA"/>
        </w:rPr>
      </w:pPr>
      <w:r w:rsidRPr="00E04F50">
        <w:rPr>
          <w:rFonts w:eastAsia="Times New Roman"/>
          <w:lang w:val="es-ES" w:eastAsia="es-ES" w:bidi="ar-SA"/>
        </w:rPr>
        <w:t xml:space="preserve">Por otro lado a pesar de que las mujeres con historia de uso de anticonceptivos presentaron 57.0% de los casos de VPH, esta no mostro asociación significativa con la presencia del virus (p = </w:t>
      </w:r>
      <w:r w:rsidRPr="00E04F50">
        <w:rPr>
          <w:rFonts w:eastAsia="Calibri"/>
          <w:lang w:val="es-MX" w:eastAsia="en-US" w:bidi="ar-SA"/>
        </w:rPr>
        <w:t>0.147</w:t>
      </w:r>
      <w:r w:rsidRPr="00E04F50">
        <w:rPr>
          <w:rFonts w:eastAsia="Times New Roman"/>
          <w:lang w:val="es-ES" w:eastAsia="es-ES" w:bidi="ar-SA"/>
        </w:rPr>
        <w:t xml:space="preserve">), este hallazgo se explicaría en parte a que son específicamente los anticonceptivos que dispensan reservas de hormonas las que han sido reportados como asociados a la frecuencia de VPH </w:t>
      </w:r>
      <w:sdt>
        <w:sdtPr>
          <w:rPr>
            <w:rFonts w:eastAsia="Times New Roman"/>
            <w:lang w:val="es-ES" w:eastAsia="es-ES" w:bidi="ar-SA"/>
          </w:rPr>
          <w:id w:val="167880733"/>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Fer05 \l 2058 </w:instrText>
          </w:r>
          <w:r w:rsidRPr="00E04F50">
            <w:rPr>
              <w:rFonts w:eastAsia="Times New Roman"/>
              <w:lang w:val="es-ES" w:eastAsia="es-ES" w:bidi="ar-SA"/>
            </w:rPr>
            <w:fldChar w:fldCharType="separate"/>
          </w:r>
          <w:r w:rsidRPr="00E04F50">
            <w:rPr>
              <w:rFonts w:eastAsia="Times New Roman"/>
              <w:noProof/>
              <w:lang w:val="es-MX" w:eastAsia="es-ES" w:bidi="ar-SA"/>
            </w:rPr>
            <w:t>(19)</w:t>
          </w:r>
          <w:r w:rsidRPr="00E04F50">
            <w:rPr>
              <w:rFonts w:eastAsia="Times New Roman"/>
              <w:lang w:val="es-ES" w:eastAsia="es-ES" w:bidi="ar-SA"/>
            </w:rPr>
            <w:fldChar w:fldCharType="end"/>
          </w:r>
        </w:sdtContent>
      </w:sdt>
      <w:r w:rsidRPr="00E04F50">
        <w:rPr>
          <w:rFonts w:eastAsia="Times New Roman"/>
          <w:lang w:val="es-ES" w:eastAsia="es-ES" w:bidi="ar-SA"/>
        </w:rPr>
        <w:t>.</w:t>
      </w:r>
    </w:p>
    <w:p w:rsidR="00E04F50" w:rsidRPr="00E04F50" w:rsidRDefault="00E04F50" w:rsidP="00E04F50">
      <w:pPr>
        <w:widowControl/>
        <w:autoSpaceDE/>
        <w:autoSpaceDN/>
        <w:jc w:val="both"/>
        <w:rPr>
          <w:rFonts w:eastAsia="Times New Roman"/>
          <w:lang w:val="es-ES" w:eastAsia="es-ES" w:bidi="ar-SA"/>
        </w:rPr>
      </w:pPr>
    </w:p>
    <w:p w:rsidR="00E04F50" w:rsidRPr="00E04F50" w:rsidRDefault="00E04F50" w:rsidP="00E04F50">
      <w:pPr>
        <w:widowControl/>
        <w:autoSpaceDE/>
        <w:autoSpaceDN/>
        <w:jc w:val="both"/>
        <w:rPr>
          <w:rFonts w:eastAsia="Times New Roman"/>
          <w:lang w:val="es-ES" w:eastAsia="es-ES" w:bidi="ar-SA"/>
        </w:rPr>
      </w:pPr>
      <w:r w:rsidRPr="00E04F50">
        <w:rPr>
          <w:rFonts w:eastAsia="Times New Roman"/>
          <w:lang w:val="es-ES" w:eastAsia="es-ES" w:bidi="ar-SA"/>
        </w:rPr>
        <w:t xml:space="preserve">En relación a los factores relacionados a la salud sexual, la edad de primera relación sexual (p = 0.067), el número de parejas sexuales (p = 0.078), y la existencia de lesiones cervicales según los resultados de la Inspección Visual con Ácido Acético (p = 0.148) no han mostrado asociación estadística significativa, con excepción del antecedente de infección de trasmisión sexual (p = 0.020). </w:t>
      </w:r>
    </w:p>
    <w:p w:rsidR="00E04F50" w:rsidRPr="00E04F50" w:rsidRDefault="00E04F50" w:rsidP="00E04F50">
      <w:pPr>
        <w:widowControl/>
        <w:autoSpaceDE/>
        <w:autoSpaceDN/>
        <w:jc w:val="both"/>
        <w:rPr>
          <w:rFonts w:eastAsia="Times New Roman"/>
          <w:lang w:val="es-ES" w:eastAsia="es-ES" w:bidi="ar-SA"/>
        </w:rPr>
      </w:pPr>
    </w:p>
    <w:p w:rsidR="00E04F50" w:rsidRPr="00E04F50" w:rsidRDefault="00E04F50" w:rsidP="00E04F50">
      <w:pPr>
        <w:widowControl/>
        <w:autoSpaceDE/>
        <w:autoSpaceDN/>
        <w:jc w:val="both"/>
        <w:rPr>
          <w:rFonts w:eastAsia="Times New Roman"/>
          <w:lang w:val="es-ES" w:eastAsia="es-ES" w:bidi="ar-SA"/>
        </w:rPr>
      </w:pPr>
      <w:r w:rsidRPr="00E04F50">
        <w:rPr>
          <w:rFonts w:eastAsia="Times New Roman"/>
          <w:lang w:val="es-ES" w:eastAsia="es-ES" w:bidi="ar-SA"/>
        </w:rPr>
        <w:t xml:space="preserve">A pesar de estos resultados, cuando la primera relación sexual ocurrió entre los 14 y 19 años explican el 58.4% de los casos de VPH, siendo esta condición la reportada en diversas investigación como un factor de riesgo moderado (OR = 20.6) </w:t>
      </w:r>
      <w:sdt>
        <w:sdtPr>
          <w:rPr>
            <w:rFonts w:eastAsia="Times New Roman"/>
            <w:lang w:val="es-ES" w:eastAsia="es-ES" w:bidi="ar-SA"/>
          </w:rPr>
          <w:id w:val="167881197"/>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Gag \l 2058 </w:instrText>
          </w:r>
          <w:r w:rsidRPr="00E04F50">
            <w:rPr>
              <w:rFonts w:eastAsia="Times New Roman"/>
              <w:lang w:val="es-ES" w:eastAsia="es-ES" w:bidi="ar-SA"/>
            </w:rPr>
            <w:fldChar w:fldCharType="separate"/>
          </w:r>
          <w:r w:rsidRPr="00E04F50">
            <w:rPr>
              <w:rFonts w:eastAsia="Times New Roman"/>
              <w:noProof/>
              <w:lang w:val="es-MX" w:eastAsia="es-ES" w:bidi="ar-SA"/>
            </w:rPr>
            <w:t>(15)</w:t>
          </w:r>
          <w:r w:rsidRPr="00E04F50">
            <w:rPr>
              <w:rFonts w:eastAsia="Times New Roman"/>
              <w:lang w:val="es-ES" w:eastAsia="es-ES" w:bidi="ar-SA"/>
            </w:rPr>
            <w:fldChar w:fldCharType="end"/>
          </w:r>
        </w:sdtContent>
      </w:sdt>
      <w:sdt>
        <w:sdtPr>
          <w:rPr>
            <w:rFonts w:eastAsia="Times New Roman"/>
            <w:lang w:val="es-ES" w:eastAsia="es-ES" w:bidi="ar-SA"/>
          </w:rPr>
          <w:id w:val="167881195"/>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Ama03 \l 2058 </w:instrText>
          </w:r>
          <w:r w:rsidRPr="00E04F50">
            <w:rPr>
              <w:rFonts w:eastAsia="Times New Roman"/>
              <w:lang w:val="es-ES" w:eastAsia="es-ES" w:bidi="ar-SA"/>
            </w:rPr>
            <w:fldChar w:fldCharType="separate"/>
          </w:r>
          <w:r w:rsidRPr="00E04F50">
            <w:rPr>
              <w:rFonts w:eastAsia="Times New Roman"/>
              <w:noProof/>
              <w:lang w:val="es-MX" w:eastAsia="es-ES" w:bidi="ar-SA"/>
            </w:rPr>
            <w:t>(18)</w:t>
          </w:r>
          <w:r w:rsidRPr="00E04F50">
            <w:rPr>
              <w:rFonts w:eastAsia="Times New Roman"/>
              <w:lang w:val="es-ES" w:eastAsia="es-ES" w:bidi="ar-SA"/>
            </w:rPr>
            <w:fldChar w:fldCharType="end"/>
          </w:r>
        </w:sdtContent>
      </w:sdt>
      <w:sdt>
        <w:sdtPr>
          <w:rPr>
            <w:rFonts w:eastAsia="Times New Roman"/>
            <w:lang w:val="es-ES" w:eastAsia="es-ES" w:bidi="ar-SA"/>
          </w:rPr>
          <w:id w:val="167881196"/>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Fer05 \l 2058 </w:instrText>
          </w:r>
          <w:r w:rsidRPr="00E04F50">
            <w:rPr>
              <w:rFonts w:eastAsia="Times New Roman"/>
              <w:lang w:val="es-ES" w:eastAsia="es-ES" w:bidi="ar-SA"/>
            </w:rPr>
            <w:fldChar w:fldCharType="separate"/>
          </w:r>
          <w:r w:rsidRPr="00E04F50">
            <w:rPr>
              <w:rFonts w:eastAsia="Times New Roman"/>
              <w:noProof/>
              <w:lang w:val="es-MX" w:eastAsia="es-ES" w:bidi="ar-SA"/>
            </w:rPr>
            <w:t>(19)</w:t>
          </w:r>
          <w:r w:rsidRPr="00E04F50">
            <w:rPr>
              <w:rFonts w:eastAsia="Times New Roman"/>
              <w:lang w:val="es-ES" w:eastAsia="es-ES" w:bidi="ar-SA"/>
            </w:rPr>
            <w:fldChar w:fldCharType="end"/>
          </w:r>
        </w:sdtContent>
      </w:sdt>
      <w:r w:rsidRPr="00E04F50">
        <w:rPr>
          <w:rFonts w:eastAsia="Times New Roman"/>
          <w:lang w:val="es-ES" w:eastAsia="es-ES" w:bidi="ar-SA"/>
        </w:rPr>
        <w:t>. Este comportamiento difieren en cuanto al número de parejas sexuales, puesto que la literatura reporta que cuando existe una historia mayor de tres parejas sexuales el riesgo alcanza  un OR = 8.0</w:t>
      </w:r>
      <w:sdt>
        <w:sdtPr>
          <w:rPr>
            <w:rFonts w:eastAsia="Times New Roman"/>
            <w:lang w:val="es-ES" w:eastAsia="es-ES" w:bidi="ar-SA"/>
          </w:rPr>
          <w:id w:val="167881198"/>
          <w:citation/>
        </w:sdtPr>
        <w:sdtContent>
          <w:r w:rsidRPr="00E04F50">
            <w:rPr>
              <w:rFonts w:eastAsia="Times New Roman"/>
              <w:lang w:val="es-ES" w:eastAsia="es-ES" w:bidi="ar-SA"/>
            </w:rPr>
            <w:fldChar w:fldCharType="begin"/>
          </w:r>
          <w:r w:rsidRPr="00E04F50">
            <w:rPr>
              <w:rFonts w:eastAsia="Times New Roman"/>
              <w:lang w:val="es-MX" w:eastAsia="es-ES" w:bidi="ar-SA"/>
            </w:rPr>
            <w:instrText xml:space="preserve"> CITATION Ama03 \l 2058 </w:instrText>
          </w:r>
          <w:r w:rsidRPr="00E04F50">
            <w:rPr>
              <w:rFonts w:eastAsia="Times New Roman"/>
              <w:lang w:val="es-ES" w:eastAsia="es-ES" w:bidi="ar-SA"/>
            </w:rPr>
            <w:fldChar w:fldCharType="separate"/>
          </w:r>
          <w:r w:rsidRPr="00E04F50">
            <w:rPr>
              <w:rFonts w:eastAsia="Times New Roman"/>
              <w:noProof/>
              <w:lang w:val="es-MX" w:eastAsia="es-ES" w:bidi="ar-SA"/>
            </w:rPr>
            <w:t>(18)</w:t>
          </w:r>
          <w:r w:rsidRPr="00E04F50">
            <w:rPr>
              <w:rFonts w:eastAsia="Times New Roman"/>
              <w:lang w:val="es-ES" w:eastAsia="es-ES" w:bidi="ar-SA"/>
            </w:rPr>
            <w:fldChar w:fldCharType="end"/>
          </w:r>
        </w:sdtContent>
      </w:sdt>
      <w:r w:rsidRPr="00E04F50">
        <w:rPr>
          <w:rFonts w:eastAsia="Times New Roman"/>
          <w:lang w:val="es-ES" w:eastAsia="es-ES" w:bidi="ar-SA"/>
        </w:rPr>
        <w:t>, sin embargo en la investigación se observó que la mayor frecuencia de VPH se encontraban en mujeres monógamas, aunque estos resultados pueden estar sujetos a sesgos de información, por el carácter confidencial de este tipo de información.</w:t>
      </w:r>
    </w:p>
    <w:p w:rsidR="00E04F50" w:rsidRPr="00E04F50" w:rsidRDefault="00E04F50" w:rsidP="00E04F50">
      <w:pPr>
        <w:widowControl/>
        <w:autoSpaceDE/>
        <w:autoSpaceDN/>
        <w:jc w:val="both"/>
        <w:rPr>
          <w:rFonts w:eastAsia="Times New Roman"/>
          <w:lang w:val="es-ES" w:eastAsia="es-ES" w:bidi="ar-SA"/>
        </w:rPr>
      </w:pPr>
    </w:p>
    <w:p w:rsidR="00E04F50" w:rsidRPr="00E04F50" w:rsidRDefault="00E04F50" w:rsidP="00E04F50">
      <w:pPr>
        <w:widowControl/>
        <w:autoSpaceDE/>
        <w:autoSpaceDN/>
        <w:jc w:val="both"/>
        <w:rPr>
          <w:rFonts w:eastAsia="Times New Roman"/>
          <w:lang w:val="es-ES" w:eastAsia="es-ES" w:bidi="ar-SA"/>
        </w:rPr>
      </w:pPr>
      <w:r w:rsidRPr="00E04F50">
        <w:rPr>
          <w:rFonts w:eastAsia="Times New Roman"/>
          <w:lang w:val="es-ES" w:eastAsia="es-ES" w:bidi="ar-SA"/>
        </w:rPr>
        <w:t xml:space="preserve">El único factor estudiado que evidencio asociación estadística significativa fue el antecedente de infecciones de trasmisión sexual, este hallazgo es similar a lo reportado por Amaro F. et al. (2003), Ferreccio C. et al. (2005), entre otros investigadores. </w:t>
      </w:r>
    </w:p>
    <w:p w:rsidR="00E04F50" w:rsidRPr="00E04F50" w:rsidRDefault="00E04F50" w:rsidP="00E04F50">
      <w:pPr>
        <w:widowControl/>
        <w:autoSpaceDE/>
        <w:autoSpaceDN/>
        <w:jc w:val="both"/>
        <w:rPr>
          <w:rFonts w:eastAsia="Times New Roman"/>
          <w:lang w:val="es-ES" w:eastAsia="es-ES" w:bidi="ar-SA"/>
        </w:rPr>
      </w:pPr>
    </w:p>
    <w:p w:rsidR="00E04F50" w:rsidRPr="00E04F50" w:rsidRDefault="00E04F50" w:rsidP="00E04F50">
      <w:pPr>
        <w:widowControl/>
        <w:autoSpaceDE/>
        <w:autoSpaceDN/>
        <w:jc w:val="both"/>
        <w:rPr>
          <w:rFonts w:eastAsia="Times New Roman"/>
          <w:b/>
          <w:lang w:val="es-ES" w:eastAsia="es-ES" w:bidi="ar-SA"/>
        </w:rPr>
      </w:pPr>
      <w:r w:rsidRPr="00E04F50">
        <w:rPr>
          <w:rFonts w:eastAsia="Times New Roman"/>
          <w:lang w:val="es-ES" w:eastAsia="es-ES" w:bidi="ar-SA"/>
        </w:rPr>
        <w:t>Por último, debemos indicar que la biopsia de los resultados de IVAA y VPH positivos arrojó sólo dos muestras con Lesión Intra Epitelial de Bajo Grado (NIC II) y uno de Alto Grado (NIC III).</w:t>
      </w:r>
    </w:p>
    <w:p w:rsidR="00E04F50" w:rsidRPr="00E04F50" w:rsidRDefault="00E04F50" w:rsidP="00E04F50">
      <w:pPr>
        <w:widowControl/>
        <w:tabs>
          <w:tab w:val="left" w:pos="360"/>
          <w:tab w:val="left" w:pos="720"/>
        </w:tabs>
        <w:autoSpaceDE/>
        <w:autoSpaceDN/>
        <w:spacing w:line="276" w:lineRule="auto"/>
        <w:rPr>
          <w:rFonts w:eastAsia="Times New Roman"/>
          <w:b/>
          <w:bCs/>
          <w:color w:val="000000"/>
          <w:lang w:val="es-ES" w:eastAsia="es-ES" w:bidi="ar-SA"/>
        </w:rPr>
      </w:pPr>
    </w:p>
    <w:p w:rsidR="00E04F50" w:rsidRPr="00E04F50" w:rsidRDefault="00E04F50" w:rsidP="00E04F50">
      <w:pPr>
        <w:widowControl/>
        <w:tabs>
          <w:tab w:val="left" w:pos="360"/>
          <w:tab w:val="left" w:pos="720"/>
        </w:tabs>
        <w:autoSpaceDE/>
        <w:autoSpaceDN/>
        <w:spacing w:line="276" w:lineRule="auto"/>
        <w:rPr>
          <w:rFonts w:eastAsia="Times New Roman"/>
          <w:b/>
          <w:bCs/>
          <w:color w:val="000000"/>
          <w:lang w:val="es-ES" w:eastAsia="es-ES" w:bidi="ar-SA"/>
        </w:rPr>
      </w:pPr>
      <w:r w:rsidRPr="00E04F50">
        <w:rPr>
          <w:rFonts w:eastAsia="Times New Roman"/>
          <w:b/>
          <w:bCs/>
          <w:color w:val="000000"/>
          <w:lang w:val="es-ES" w:eastAsia="es-ES" w:bidi="ar-SA"/>
        </w:rPr>
        <w:t>CONCLUSIONES</w:t>
      </w:r>
    </w:p>
    <w:p w:rsidR="00E04F50" w:rsidRPr="00E04F50" w:rsidRDefault="00E04F50" w:rsidP="00E04F50">
      <w:pPr>
        <w:widowControl/>
        <w:numPr>
          <w:ilvl w:val="0"/>
          <w:numId w:val="3"/>
        </w:numPr>
        <w:autoSpaceDE/>
        <w:autoSpaceDN/>
        <w:adjustRightInd w:val="0"/>
        <w:ind w:left="360"/>
        <w:jc w:val="both"/>
        <w:rPr>
          <w:rFonts w:eastAsia="Times New Roman"/>
          <w:lang w:bidi="ar-SA"/>
        </w:rPr>
      </w:pPr>
      <w:r w:rsidRPr="00E04F50">
        <w:rPr>
          <w:rFonts w:eastAsia="Times New Roman"/>
          <w:lang w:bidi="ar-SA"/>
        </w:rPr>
        <w:t>La presencia del virus papiloma humano en mujeres de 30 a 49 años del distrito de Catacaos Piura durante el periodo de estudio tuvo una frecuencia del 11.2%  con un intervalo de confianza al 95% de 0.076 a 0.161.</w:t>
      </w:r>
    </w:p>
    <w:p w:rsidR="00E04F50" w:rsidRPr="00E04F50" w:rsidRDefault="00E04F50" w:rsidP="00E04F50">
      <w:pPr>
        <w:widowControl/>
        <w:numPr>
          <w:ilvl w:val="0"/>
          <w:numId w:val="3"/>
        </w:numPr>
        <w:autoSpaceDE/>
        <w:autoSpaceDN/>
        <w:ind w:left="360"/>
        <w:contextualSpacing/>
        <w:jc w:val="both"/>
        <w:rPr>
          <w:rFonts w:eastAsia="Calibri"/>
          <w:lang w:val="es-MX" w:eastAsia="en-US" w:bidi="ar-SA"/>
        </w:rPr>
      </w:pPr>
      <w:r w:rsidRPr="00E04F50">
        <w:rPr>
          <w:rFonts w:eastAsia="Calibri"/>
          <w:lang w:val="es-MX" w:eastAsia="en-US" w:bidi="ar-SA"/>
        </w:rPr>
        <w:lastRenderedPageBreak/>
        <w:t xml:space="preserve">El virus papiloma humano en mujeres de 30 a 49 años del distrito de Catacaos Piura durante el periodo de estudio, fue más frecuente entre los 30 a 49 años de edad, en aquellas con menarquía entre los 12 a 15 años, con embarazo durante la adolescencia, multíparas, con antecedente de uso de anticonceptivos, edad de inicio sexual entre los 14 a 19 años y antecedente de infección de trasmisión sexual. </w:t>
      </w:r>
    </w:p>
    <w:p w:rsidR="00E04F50" w:rsidRPr="00E04F50" w:rsidRDefault="00E04F50" w:rsidP="00E04F50">
      <w:pPr>
        <w:widowControl/>
        <w:numPr>
          <w:ilvl w:val="0"/>
          <w:numId w:val="3"/>
        </w:numPr>
        <w:autoSpaceDE/>
        <w:autoSpaceDN/>
        <w:ind w:left="360"/>
        <w:contextualSpacing/>
        <w:jc w:val="both"/>
        <w:rPr>
          <w:rFonts w:eastAsia="Calibri"/>
          <w:lang w:val="es-MX" w:eastAsia="en-US" w:bidi="ar-SA"/>
        </w:rPr>
      </w:pPr>
      <w:r w:rsidRPr="00E04F50">
        <w:rPr>
          <w:rFonts w:eastAsia="Calibri"/>
          <w:lang w:val="es-MX" w:eastAsia="en-US" w:bidi="ar-SA"/>
        </w:rPr>
        <w:t>La frecuencia de lesiones cervicales Intra Epitelial de Bajo Grado (NIC II) y uno de Alto Grado (NIC III) en mujeres de 30 a 49 años del distrito de Catacaos durante el periodo de estudio detectadas a través de la biopsia fue de 0.93%.</w:t>
      </w:r>
    </w:p>
    <w:p w:rsidR="00E04F50" w:rsidRPr="00E04F50" w:rsidRDefault="00E04F50" w:rsidP="00E04F50">
      <w:pPr>
        <w:widowControl/>
        <w:numPr>
          <w:ilvl w:val="0"/>
          <w:numId w:val="3"/>
        </w:numPr>
        <w:autoSpaceDE/>
        <w:autoSpaceDN/>
        <w:ind w:left="360"/>
        <w:contextualSpacing/>
        <w:jc w:val="both"/>
        <w:rPr>
          <w:rFonts w:eastAsia="Calibri"/>
          <w:b/>
          <w:lang w:val="es-MX" w:eastAsia="en-US" w:bidi="ar-SA"/>
        </w:rPr>
      </w:pPr>
      <w:r w:rsidRPr="00E04F50">
        <w:rPr>
          <w:rFonts w:eastAsia="Calibri"/>
          <w:lang w:val="es-MX" w:eastAsia="en-US" w:bidi="ar-SA"/>
        </w:rPr>
        <w:t>A pesar de que la frecuencia de VPH observada fue mayor en las condiciones que según la literatura son reportadas como factores de riesgo, en la presente investigación los factores reproductivos y sexuales estudiados no presentaron asociación estadística significativa con la presencia del Virus Papiloma Humano.</w:t>
      </w:r>
    </w:p>
    <w:p w:rsidR="00E04F50" w:rsidRPr="00E04F50" w:rsidRDefault="00E04F50" w:rsidP="00E04F50">
      <w:pPr>
        <w:widowControl/>
        <w:tabs>
          <w:tab w:val="left" w:pos="360"/>
          <w:tab w:val="left" w:pos="720"/>
        </w:tabs>
        <w:autoSpaceDE/>
        <w:autoSpaceDN/>
        <w:spacing w:line="276" w:lineRule="auto"/>
        <w:jc w:val="both"/>
        <w:rPr>
          <w:rFonts w:eastAsia="Times New Roman"/>
          <w:b/>
          <w:bCs/>
          <w:color w:val="000000"/>
          <w:lang w:val="es-ES" w:eastAsia="es-ES" w:bidi="ar-SA"/>
        </w:rPr>
      </w:pPr>
    </w:p>
    <w:p w:rsidR="00E04F50" w:rsidRPr="00E04F50" w:rsidRDefault="00E04F50" w:rsidP="00E04F50">
      <w:pPr>
        <w:widowControl/>
        <w:tabs>
          <w:tab w:val="left" w:pos="360"/>
          <w:tab w:val="left" w:pos="720"/>
        </w:tabs>
        <w:autoSpaceDE/>
        <w:autoSpaceDN/>
        <w:ind w:left="708" w:hanging="708"/>
        <w:rPr>
          <w:rFonts w:eastAsia="Times New Roman"/>
          <w:color w:val="000000"/>
          <w:lang w:val="es-MX" w:eastAsia="es-ES" w:bidi="ar-SA"/>
        </w:rPr>
      </w:pPr>
    </w:p>
    <w:p w:rsidR="00E04F50" w:rsidRPr="00E04F50" w:rsidRDefault="00E04F50" w:rsidP="00E04F50">
      <w:pPr>
        <w:widowControl/>
        <w:autoSpaceDE/>
        <w:autoSpaceDN/>
        <w:ind w:firstLine="284"/>
        <w:rPr>
          <w:rFonts w:eastAsia="Times New Roman"/>
          <w:b/>
          <w:bCs/>
          <w:color w:val="000000"/>
          <w:lang w:val="es-ES" w:eastAsia="es-ES" w:bidi="ar-SA"/>
        </w:rPr>
      </w:pPr>
      <w:r w:rsidRPr="00E04F50">
        <w:rPr>
          <w:rFonts w:eastAsia="Times New Roman"/>
          <w:b/>
          <w:bCs/>
          <w:color w:val="000000"/>
          <w:lang w:val="es-ES" w:eastAsia="es-ES" w:bidi="ar-SA"/>
        </w:rPr>
        <w:t>REFERENCIAS BIBLIOGR</w:t>
      </w:r>
      <w:r w:rsidRPr="00E04F50">
        <w:rPr>
          <w:rFonts w:eastAsia="Times New Roman"/>
          <w:b/>
          <w:bCs/>
          <w:caps/>
          <w:color w:val="000000"/>
          <w:lang w:val="es-ES" w:eastAsia="es-ES" w:bidi="ar-SA"/>
        </w:rPr>
        <w:t>á</w:t>
      </w:r>
      <w:r w:rsidRPr="00E04F50">
        <w:rPr>
          <w:rFonts w:eastAsia="Times New Roman"/>
          <w:b/>
          <w:bCs/>
          <w:color w:val="000000"/>
          <w:lang w:val="es-ES" w:eastAsia="es-ES" w:bidi="ar-SA"/>
        </w:rPr>
        <w:t>FICAS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498"/>
      </w:tblGrid>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t>1</w:t>
            </w:r>
          </w:p>
        </w:tc>
        <w:tc>
          <w:tcPr>
            <w:tcW w:w="0" w:type="auto"/>
            <w:hideMark/>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t>HPV Information Centre. Human Papilomavirus and Related Diseases in theWorld. Summary Report. Barcelona: HPV Information Centre, ICO Information Centre on HPV and Cancer; 2014.</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2</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Organización Panamerica de la Salud. Programa de Cáncer. [Online].; 2014 [cited 2015 Enero 23. Available from: www.paho.org/cancer.</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3</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Luciani S, Winkler J. Prevención del cáncer cervicouterino en el Perú: lecciones aprendidas del proyecto demostrativo tamizaje y tratamiento inmediato (TATI) de las lesiones cervicouterinas. Washington: Organización Panamericana de la Salud, Unidad de Enfermedades no Transmisibl</w:t>
            </w:r>
            <w:bookmarkStart w:id="0" w:name="_GoBack"/>
            <w:bookmarkEnd w:id="0"/>
            <w:r w:rsidRPr="00E04F50">
              <w:rPr>
                <w:rFonts w:eastAsia="Times New Roman"/>
                <w:noProof/>
                <w:sz w:val="24"/>
                <w:szCs w:val="24"/>
                <w:lang w:val="es-ES" w:eastAsia="es-ES" w:bidi="ar-SA"/>
              </w:rPr>
              <w:t>es; 2006.</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4</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Ramos W, Venegas D. Análisis de la Situación del Cáncer en el Perú 2013. Lima: Ministerio de Salud, Dirección General de Epidemiología; 2013.</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5</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 xml:space="preserve">Muñoz N, Bosch X, Sanjosé Sd, Herrero R, Castellsagué X, et-al. </w:t>
            </w:r>
            <w:r w:rsidRPr="00E04F50">
              <w:rPr>
                <w:rFonts w:eastAsia="Times New Roman"/>
                <w:noProof/>
                <w:sz w:val="24"/>
                <w:szCs w:val="24"/>
                <w:lang w:val="en-US" w:eastAsia="es-ES" w:bidi="ar-SA"/>
              </w:rPr>
              <w:t xml:space="preserve">Epidemiologic Classification of Human Papillomavirus Types Associated with Cervical Cancer. </w:t>
            </w:r>
            <w:r w:rsidRPr="00E04F50">
              <w:rPr>
                <w:rFonts w:eastAsia="Times New Roman"/>
                <w:noProof/>
                <w:sz w:val="24"/>
                <w:szCs w:val="24"/>
                <w:lang w:val="es-ES" w:eastAsia="es-ES" w:bidi="ar-SA"/>
              </w:rPr>
              <w:t>The New England Journal of Medicine. 2003;(348): p. 518-27.</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t>6</w:t>
            </w:r>
          </w:p>
        </w:tc>
        <w:tc>
          <w:tcPr>
            <w:tcW w:w="0" w:type="auto"/>
            <w:hideMark/>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t>HVP Information Centre. Human Papillomavirus and Related Diseases in Americas. Summary Report. Barcelona: HVP Information Centre, ICO Information Centre on HPV and Cancer; 2014.</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t>7</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n-US" w:eastAsia="es-ES" w:bidi="ar-SA"/>
              </w:rPr>
              <w:t xml:space="preserve">Sykes P, Gopala K, Ling A, Kenwright D, Petrich S, et-al. Type distribution of human papillomavirus among adult women diagnosed with invasive cervical cancer (stage 1b or higher) in New Zealand. </w:t>
            </w:r>
            <w:r w:rsidRPr="00E04F50">
              <w:rPr>
                <w:rFonts w:eastAsia="Times New Roman"/>
                <w:noProof/>
                <w:sz w:val="24"/>
                <w:szCs w:val="24"/>
                <w:lang w:val="es-ES" w:eastAsia="es-ES" w:bidi="ar-SA"/>
              </w:rPr>
              <w:t>BMC Infectious Diseases. 2014; 14(374).</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t>8</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n-US" w:eastAsia="es-ES" w:bidi="ar-SA"/>
              </w:rPr>
              <w:t xml:space="preserve">Smith L, Khurshed F, van Niekerk D, Krajden M, Greene S, et-al. Women’s intentions to self-collect samples for human papillomavirus testing in an organized cervical cancer screening program. BMC Infectious Diseases. </w:t>
            </w:r>
            <w:r w:rsidRPr="00E04F50">
              <w:rPr>
                <w:rFonts w:eastAsia="Times New Roman"/>
                <w:noProof/>
                <w:sz w:val="24"/>
                <w:szCs w:val="24"/>
                <w:lang w:val="es-ES" w:eastAsia="es-ES" w:bidi="ar-SA"/>
              </w:rPr>
              <w:t>2014; 14(1060).</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t>9</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n-US" w:eastAsia="es-ES" w:bidi="ar-SA"/>
              </w:rPr>
              <w:t xml:space="preserve">Sinayobye J, Sklar M, Hoover D, Shi Q, Dusingize J, et-al. Prevalence and risk factors for High-RiskHuman Papillomavirus (hrHPV) infection among HIV-infected and Uninfected Rwandan women: implications for hrHPV-based screening in Rwanda. Infectious Agents and Cancer. </w:t>
            </w:r>
            <w:r w:rsidRPr="00E04F50">
              <w:rPr>
                <w:rFonts w:eastAsia="Times New Roman"/>
                <w:noProof/>
                <w:sz w:val="24"/>
                <w:szCs w:val="24"/>
                <w:lang w:val="es-ES" w:eastAsia="es-ES" w:bidi="ar-SA"/>
              </w:rPr>
              <w:t>2014; 9(40).</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10</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Rodríguez D, Perez J, Sarduy M. Infección por el virus del papiloma humano en mujeres de edad mediana y factores asociados. Revista Cubana de Ginecología y Obstetricia. 2014; 40(2): p. 218-232.</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11</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Melo A, Vásquez A, Andana A, Matamala M, Pino T. Genotipificación del virus papiloma humano en mujeres de 25 años de edad participantes del Programa Nacional del Cáncer Cérvico-uterino en la Región de la Araucanía, Chile. Rev Chilena Infectol. 2014; 31(4): p. 542-548.</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lastRenderedPageBreak/>
              <w:t>12</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n-US" w:eastAsia="es-ES" w:bidi="ar-SA"/>
              </w:rPr>
              <w:t xml:space="preserve">Wheeler C, Hunt W, Cuzick J, Langsfeld E, Pearse A, et-al. A population-based study of human papillomavirus genotype prevalence in the United States: baseline measures prior to mass human papillomavirus vaccination. </w:t>
            </w:r>
            <w:r w:rsidRPr="00E04F50">
              <w:rPr>
                <w:rFonts w:eastAsia="Times New Roman"/>
                <w:noProof/>
                <w:sz w:val="24"/>
                <w:szCs w:val="24"/>
                <w:lang w:val="es-ES" w:eastAsia="es-ES" w:bidi="ar-SA"/>
              </w:rPr>
              <w:t>Int. J. Cancer. 2013; 132: p. 198–207.</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t>13</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n-US" w:eastAsia="es-ES" w:bidi="ar-SA"/>
              </w:rPr>
              <w:t xml:space="preserve">Basu P, Mittal S, Bhaumik S, Sunder S, Samaddar A, et-al. Prevalence of high-risk human papillomavirus and cervical intraepithelial neoplasias in a previously unscreened population: A pooled analysis from three studies. </w:t>
            </w:r>
            <w:r w:rsidRPr="00E04F50">
              <w:rPr>
                <w:rFonts w:eastAsia="Times New Roman"/>
                <w:noProof/>
                <w:sz w:val="24"/>
                <w:szCs w:val="24"/>
                <w:lang w:val="es-ES" w:eastAsia="es-ES" w:bidi="ar-SA"/>
              </w:rPr>
              <w:t>Int. J. Cancer. 2013; 132: p. 1693–1699.</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t>14</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n-US" w:eastAsia="es-ES" w:bidi="ar-SA"/>
              </w:rPr>
              <w:t xml:space="preserve">Zhao FH, Lewkowitz A, Hu SY, Chen F, Li LYL, et-al. Prevalence of human papillomavirus and cervical intraepithelial neoplasia in China: a pooled analysis of 17 population-based studies. </w:t>
            </w:r>
            <w:r w:rsidRPr="00E04F50">
              <w:rPr>
                <w:rFonts w:eastAsia="Times New Roman"/>
                <w:noProof/>
                <w:sz w:val="24"/>
                <w:szCs w:val="24"/>
                <w:lang w:val="es-ES" w:eastAsia="es-ES" w:bidi="ar-SA"/>
              </w:rPr>
              <w:t>Int. J. Cancer. 2012; 131: p. 2929–2938.</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n-US" w:eastAsia="es-ES" w:bidi="ar-SA"/>
              </w:rPr>
            </w:pPr>
            <w:r w:rsidRPr="00E04F50">
              <w:rPr>
                <w:rFonts w:eastAsia="Times New Roman"/>
                <w:noProof/>
                <w:sz w:val="24"/>
                <w:szCs w:val="24"/>
                <w:lang w:val="en-US" w:eastAsia="es-ES" w:bidi="ar-SA"/>
              </w:rPr>
              <w:t>15</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n-US" w:eastAsia="es-ES" w:bidi="ar-SA"/>
              </w:rPr>
              <w:t xml:space="preserve">Gage J, Ajenifuja K, Wentzensen N, Adepiti A, Eklund C, et-al. The age-specific prevalence of human papillomavirus and risk of cytologic abnormalities in rural Nigeria: Implications for screen-and-treat strategies. </w:t>
            </w:r>
            <w:r w:rsidRPr="00E04F50">
              <w:rPr>
                <w:rFonts w:eastAsia="Times New Roman"/>
                <w:noProof/>
                <w:sz w:val="24"/>
                <w:szCs w:val="24"/>
                <w:lang w:val="es-ES" w:eastAsia="es-ES" w:bidi="ar-SA"/>
              </w:rPr>
              <w:t>Int. J. Cancer. ; 130: p. 2111–2117.</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16</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Iwasaki R, Arias-Stella JJ, Arias-Stella J. Prevalencia del virus del papiloma humano de alto riesgo en el Perú. Diagnostico. 2014 Enero-marzo; 53(1): p. 5-8.</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17</w:t>
            </w:r>
          </w:p>
        </w:tc>
        <w:tc>
          <w:tcPr>
            <w:tcW w:w="0" w:type="auto"/>
            <w:hideMark/>
          </w:tcPr>
          <w:p w:rsidR="00E04F50" w:rsidRPr="00E04F50" w:rsidRDefault="00E04F50" w:rsidP="00E04F50">
            <w:pPr>
              <w:widowControl/>
              <w:autoSpaceDE/>
              <w:autoSpaceDN/>
              <w:jc w:val="both"/>
              <w:rPr>
                <w:rFonts w:eastAsia="Times New Roman"/>
                <w:noProof/>
                <w:sz w:val="24"/>
                <w:szCs w:val="24"/>
                <w:lang w:val="es-ES" w:eastAsia="es-ES" w:bidi="ar-SA"/>
              </w:rPr>
            </w:pPr>
            <w:r w:rsidRPr="00E04F50">
              <w:rPr>
                <w:rFonts w:eastAsia="Times New Roman"/>
                <w:noProof/>
                <w:sz w:val="24"/>
                <w:szCs w:val="24"/>
                <w:lang w:val="es-ES" w:eastAsia="es-ES" w:bidi="ar-SA"/>
              </w:rPr>
              <w:t>Valderrama M, Campos F, Cárcamo C, García P. Factores asociados a lesiones cervicales o presencia del Virus del Papiloma Humano en dos poblaciones de estudiantes de Lima. Rev Peru Med Exp Salud Publica. 2009; 24(3): p. 234-39.</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color w:val="000000"/>
                <w:sz w:val="24"/>
                <w:szCs w:val="24"/>
                <w:lang w:val="es-ES" w:eastAsia="es-ES" w:bidi="ar-SA"/>
              </w:rPr>
            </w:pPr>
            <w:r w:rsidRPr="00E04F50">
              <w:rPr>
                <w:rFonts w:eastAsia="Times New Roman"/>
                <w:noProof/>
                <w:color w:val="000000"/>
                <w:sz w:val="24"/>
                <w:szCs w:val="24"/>
                <w:lang w:val="es-ES" w:eastAsia="es-ES" w:bidi="ar-SA"/>
              </w:rPr>
              <w:t>18</w:t>
            </w:r>
          </w:p>
        </w:tc>
        <w:tc>
          <w:tcPr>
            <w:tcW w:w="0" w:type="auto"/>
            <w:hideMark/>
          </w:tcPr>
          <w:p w:rsidR="00E04F50" w:rsidRPr="00E04F50" w:rsidRDefault="00E04F50" w:rsidP="00E04F50">
            <w:pPr>
              <w:widowControl/>
              <w:autoSpaceDE/>
              <w:autoSpaceDN/>
              <w:jc w:val="both"/>
              <w:rPr>
                <w:rFonts w:eastAsia="Times New Roman"/>
                <w:noProof/>
                <w:color w:val="000000"/>
                <w:sz w:val="24"/>
                <w:szCs w:val="24"/>
                <w:lang w:val="es-ES" w:eastAsia="es-ES" w:bidi="ar-SA"/>
              </w:rPr>
            </w:pPr>
            <w:r w:rsidRPr="00E04F50">
              <w:rPr>
                <w:rFonts w:eastAsia="Times New Roman"/>
                <w:noProof/>
                <w:color w:val="000000"/>
                <w:sz w:val="24"/>
                <w:szCs w:val="24"/>
                <w:lang w:val="es-ES" w:eastAsia="es-ES" w:bidi="ar-SA"/>
              </w:rPr>
              <w:t>Amaro F, Polo K, Mendoza del Pino M, Pi L. Comportamiento de algunos factores de riesgos asociados a la aparición del cáncer cervicouterino en un área de salud. Archivo Médico de Camaguey. 2003; 7(6).</w:t>
            </w:r>
          </w:p>
        </w:tc>
      </w:tr>
      <w:tr w:rsidR="00E04F50" w:rsidRPr="00E04F50" w:rsidTr="004544B5">
        <w:trPr>
          <w:tblCellSpacing w:w="15" w:type="dxa"/>
        </w:trPr>
        <w:tc>
          <w:tcPr>
            <w:tcW w:w="0" w:type="auto"/>
          </w:tcPr>
          <w:p w:rsidR="00E04F50" w:rsidRPr="00E04F50" w:rsidRDefault="00E04F50" w:rsidP="00E04F50">
            <w:pPr>
              <w:widowControl/>
              <w:autoSpaceDE/>
              <w:autoSpaceDN/>
              <w:jc w:val="both"/>
              <w:rPr>
                <w:rFonts w:eastAsia="Times New Roman"/>
                <w:noProof/>
                <w:color w:val="000000"/>
                <w:sz w:val="24"/>
                <w:szCs w:val="24"/>
                <w:lang w:val="es-ES" w:eastAsia="es-ES" w:bidi="ar-SA"/>
              </w:rPr>
            </w:pPr>
            <w:r w:rsidRPr="00E04F50">
              <w:rPr>
                <w:rFonts w:eastAsia="Times New Roman"/>
                <w:noProof/>
                <w:color w:val="000000"/>
                <w:sz w:val="24"/>
                <w:szCs w:val="24"/>
                <w:lang w:val="es-ES" w:eastAsia="es-ES" w:bidi="ar-SA"/>
              </w:rPr>
              <w:t>19</w:t>
            </w:r>
          </w:p>
        </w:tc>
        <w:tc>
          <w:tcPr>
            <w:tcW w:w="0" w:type="auto"/>
            <w:hideMark/>
          </w:tcPr>
          <w:p w:rsidR="00E04F50" w:rsidRPr="00E04F50" w:rsidRDefault="00E04F50" w:rsidP="00E04F50">
            <w:pPr>
              <w:widowControl/>
              <w:autoSpaceDE/>
              <w:autoSpaceDN/>
              <w:jc w:val="both"/>
              <w:rPr>
                <w:rFonts w:eastAsia="Times New Roman"/>
                <w:noProof/>
                <w:color w:val="000000"/>
                <w:sz w:val="24"/>
                <w:szCs w:val="24"/>
                <w:lang w:val="es-ES" w:eastAsia="es-ES" w:bidi="ar-SA"/>
              </w:rPr>
            </w:pPr>
            <w:r w:rsidRPr="00E04F50">
              <w:rPr>
                <w:rFonts w:eastAsia="Times New Roman"/>
                <w:noProof/>
                <w:color w:val="000000"/>
                <w:sz w:val="24"/>
                <w:szCs w:val="24"/>
                <w:lang w:val="es-ES" w:eastAsia="es-ES" w:bidi="ar-SA"/>
              </w:rPr>
              <w:t>Ferreccio. Prevalencia poblacional y distribución por edad del Virus Papiloma Humano entre mujeres en Santiago, Chile. Boletin de la Escuela de Medicina. 2005; 30(1): p. 34-39.</w:t>
            </w:r>
          </w:p>
        </w:tc>
      </w:tr>
    </w:tbl>
    <w:p w:rsidR="00E04F50" w:rsidRPr="00E04F50" w:rsidRDefault="00E04F50" w:rsidP="00E04F50">
      <w:pPr>
        <w:widowControl/>
        <w:autoSpaceDE/>
        <w:autoSpaceDN/>
        <w:rPr>
          <w:rFonts w:eastAsia="Times New Roman"/>
          <w:b/>
          <w:bCs/>
          <w:color w:val="000000"/>
          <w:lang w:val="es-ES" w:eastAsia="es-ES" w:bidi="ar-SA"/>
        </w:rPr>
      </w:pPr>
    </w:p>
    <w:p w:rsidR="00E04F50" w:rsidRPr="00E04F50" w:rsidRDefault="00E04F50" w:rsidP="00E04F50">
      <w:pPr>
        <w:widowControl/>
        <w:autoSpaceDE/>
        <w:autoSpaceDN/>
        <w:rPr>
          <w:rFonts w:eastAsia="Times New Roman"/>
          <w:color w:val="000000"/>
          <w:lang w:val="es-ES" w:eastAsia="es-ES" w:bidi="ar-SA"/>
        </w:rPr>
      </w:pPr>
    </w:p>
    <w:p w:rsidR="00E04F50" w:rsidRPr="00E04F50" w:rsidRDefault="00E04F50" w:rsidP="00E04F50">
      <w:pPr>
        <w:widowControl/>
        <w:autoSpaceDE/>
        <w:autoSpaceDN/>
        <w:ind w:firstLine="284"/>
        <w:rPr>
          <w:rFonts w:eastAsia="Times New Roman"/>
          <w:color w:val="000000"/>
          <w:lang w:val="es-ES" w:eastAsia="es-ES" w:bidi="ar-SA"/>
        </w:rPr>
      </w:pPr>
    </w:p>
    <w:p w:rsidR="00E04F50" w:rsidRPr="00E04F50" w:rsidRDefault="00E04F50" w:rsidP="00E04F50">
      <w:pPr>
        <w:widowControl/>
        <w:autoSpaceDE/>
        <w:autoSpaceDN/>
        <w:rPr>
          <w:rFonts w:eastAsia="Times New Roman"/>
          <w:color w:val="000000"/>
          <w:lang w:val="es-ES" w:eastAsia="es-ES" w:bidi="ar-SA"/>
        </w:rPr>
      </w:pPr>
      <w:r w:rsidRPr="00E04F50">
        <w:rPr>
          <w:rFonts w:eastAsia="Times New Roman"/>
          <w:b/>
          <w:color w:val="000000"/>
          <w:lang w:val="es-ES" w:eastAsia="es-ES" w:bidi="ar-SA"/>
        </w:rPr>
        <w:t>Correspondencia:</w:t>
      </w:r>
      <w:r w:rsidRPr="00E04F50">
        <w:rPr>
          <w:rFonts w:eastAsia="Times New Roman"/>
          <w:color w:val="000000"/>
          <w:lang w:val="es-ES" w:eastAsia="es-ES" w:bidi="ar-SA"/>
        </w:rPr>
        <w:t xml:space="preserve"> Carmen Nuñez Terán</w:t>
      </w:r>
    </w:p>
    <w:p w:rsidR="00E04F50" w:rsidRPr="00E04F50" w:rsidRDefault="00E04F50" w:rsidP="00E04F50">
      <w:pPr>
        <w:widowControl/>
        <w:autoSpaceDE/>
        <w:autoSpaceDN/>
        <w:rPr>
          <w:rFonts w:eastAsia="Times New Roman"/>
          <w:color w:val="000000"/>
          <w:lang w:val="es-ES" w:eastAsia="es-ES" w:bidi="ar-SA"/>
        </w:rPr>
      </w:pPr>
      <w:r w:rsidRPr="00E04F50">
        <w:rPr>
          <w:rFonts w:eastAsia="Times New Roman"/>
          <w:b/>
          <w:color w:val="000000"/>
          <w:lang w:val="es-ES" w:eastAsia="es-ES" w:bidi="ar-SA"/>
        </w:rPr>
        <w:t>Correo electrónico:</w:t>
      </w:r>
      <w:r w:rsidRPr="00E04F50">
        <w:rPr>
          <w:rFonts w:eastAsia="Times New Roman"/>
          <w:color w:val="000000"/>
          <w:lang w:val="es-ES" w:eastAsia="es-ES" w:bidi="ar-SA"/>
        </w:rPr>
        <w:t xml:space="preserve">  cnunez1529@gmail.com</w:t>
      </w:r>
    </w:p>
    <w:p w:rsidR="00E04F50" w:rsidRPr="00E04F50" w:rsidRDefault="00E04F50" w:rsidP="00E04F50">
      <w:pPr>
        <w:widowControl/>
        <w:adjustRightInd w:val="0"/>
        <w:rPr>
          <w:rFonts w:eastAsia="Times New Roman"/>
          <w:color w:val="000000"/>
          <w:lang w:val="es-ES" w:eastAsia="es-ES" w:bidi="ar-SA"/>
        </w:rPr>
      </w:pPr>
      <w:r w:rsidRPr="00E04F50">
        <w:rPr>
          <w:rFonts w:eastAsia="Times New Roman"/>
          <w:b/>
          <w:color w:val="000000"/>
          <w:lang w:val="es-ES" w:eastAsia="es-ES" w:bidi="ar-SA"/>
        </w:rPr>
        <w:t>Recibido:</w:t>
      </w:r>
      <w:r w:rsidRPr="00E04F50">
        <w:rPr>
          <w:rFonts w:eastAsia="Times New Roman"/>
          <w:color w:val="000000"/>
          <w:lang w:val="es-ES" w:eastAsia="es-ES" w:bidi="ar-SA"/>
        </w:rPr>
        <w:t xml:space="preserve"> 07/09/14</w:t>
      </w:r>
    </w:p>
    <w:p w:rsidR="00E04F50" w:rsidRPr="00E04F50" w:rsidRDefault="00E04F50" w:rsidP="00E04F50">
      <w:pPr>
        <w:widowControl/>
        <w:adjustRightInd w:val="0"/>
        <w:rPr>
          <w:rFonts w:eastAsia="Times New Roman"/>
          <w:color w:val="000000"/>
          <w:lang w:val="es-ES" w:eastAsia="es-ES" w:bidi="ar-SA"/>
        </w:rPr>
      </w:pPr>
      <w:r w:rsidRPr="00E04F50">
        <w:rPr>
          <w:rFonts w:eastAsia="Times New Roman"/>
          <w:b/>
          <w:color w:val="000000"/>
          <w:lang w:val="es-ES" w:eastAsia="es-ES" w:bidi="ar-SA"/>
        </w:rPr>
        <w:t>Aprobado para su publicación:</w:t>
      </w:r>
      <w:r w:rsidRPr="00E04F50">
        <w:rPr>
          <w:rFonts w:eastAsia="Times New Roman"/>
          <w:color w:val="000000"/>
          <w:lang w:val="es-ES" w:eastAsia="es-ES" w:bidi="ar-SA"/>
        </w:rPr>
        <w:t xml:space="preserve"> 15/10/14.</w:t>
      </w:r>
    </w:p>
    <w:p w:rsidR="00E04F50" w:rsidRPr="00E04F50" w:rsidRDefault="00E04F50" w:rsidP="00E04F50">
      <w:pPr>
        <w:widowControl/>
        <w:autoSpaceDE/>
        <w:autoSpaceDN/>
        <w:rPr>
          <w:rFonts w:ascii="Times New Roman" w:eastAsia="Times New Roman" w:hAnsi="Times New Roman" w:cs="Times New Roman"/>
          <w:sz w:val="24"/>
          <w:szCs w:val="24"/>
          <w:lang w:val="es-ES" w:eastAsia="es-ES" w:bidi="ar-SA"/>
        </w:rPr>
      </w:pPr>
    </w:p>
    <w:p w:rsidR="00B42EF6" w:rsidRDefault="004565EA">
      <w:pPr>
        <w:spacing w:line="229" w:lineRule="exact"/>
        <w:ind w:left="204"/>
        <w:rPr>
          <w:sz w:val="20"/>
        </w:rPr>
      </w:pPr>
      <w:r>
        <w:rPr>
          <w:sz w:val="20"/>
        </w:rPr>
        <w:t>.</w:t>
      </w:r>
    </w:p>
    <w:sectPr w:rsidR="00B42EF6">
      <w:headerReference w:type="default" r:id="rId19"/>
      <w:footerReference w:type="default" r:id="rId20"/>
      <w:pgSz w:w="11920" w:h="16850"/>
      <w:pgMar w:top="1300" w:right="1580" w:bottom="920" w:left="1500" w:header="725" w:footer="7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EA" w:rsidRDefault="004565EA">
      <w:r>
        <w:separator/>
      </w:r>
    </w:p>
  </w:endnote>
  <w:endnote w:type="continuationSeparator" w:id="0">
    <w:p w:rsidR="004565EA" w:rsidRDefault="004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032" behindDoc="1" locked="0" layoutInCell="1" allowOverlap="1">
              <wp:simplePos x="0" y="0"/>
              <wp:positionH relativeFrom="page">
                <wp:posOffset>1003935</wp:posOffset>
              </wp:positionH>
              <wp:positionV relativeFrom="page">
                <wp:posOffset>9775825</wp:posOffset>
              </wp:positionV>
              <wp:extent cx="2014220" cy="153670"/>
              <wp:effectExtent l="3810" t="3175" r="127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Rev. Peru. Obstet. Enferm. 11 (2)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9.05pt;margin-top:769.75pt;width:158.6pt;height:12.1pt;z-index:-1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9CrgIAAKs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" filled="f" stroked="f">
              <v:textbox inset="0,0,0,0">
                <w:txbxContent>
                  <w:p w:rsidR="00B42EF6" w:rsidRDefault="004565EA">
                    <w:pPr>
                      <w:spacing w:before="14"/>
                      <w:ind w:left="20"/>
                      <w:rPr>
                        <w:sz w:val="18"/>
                      </w:rPr>
                    </w:pPr>
                    <w:r>
                      <w:rPr>
                        <w:sz w:val="18"/>
                      </w:rPr>
                      <w:t>Rev. Peru. Obstet. Enferm. 11 (2) 2015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080" behindDoc="1" locked="0" layoutInCell="1" allowOverlap="1">
              <wp:simplePos x="0" y="0"/>
              <wp:positionH relativeFrom="page">
                <wp:posOffset>1003935</wp:posOffset>
              </wp:positionH>
              <wp:positionV relativeFrom="page">
                <wp:posOffset>9935845</wp:posOffset>
              </wp:positionV>
              <wp:extent cx="2014220" cy="153670"/>
              <wp:effectExtent l="3810" t="1270" r="127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Rev. Peru. Obstet. Enferm. 11 (2)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79.05pt;margin-top:782.35pt;width:158.6pt;height:12.1pt;z-index:-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besgIAALI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" filled="f" stroked="f">
              <v:textbox inset="0,0,0,0">
                <w:txbxContent>
                  <w:p w:rsidR="00B42EF6" w:rsidRDefault="004565EA">
                    <w:pPr>
                      <w:spacing w:before="14"/>
                      <w:ind w:left="20"/>
                      <w:rPr>
                        <w:sz w:val="18"/>
                      </w:rPr>
                    </w:pPr>
                    <w:r>
                      <w:rPr>
                        <w:sz w:val="18"/>
                      </w:rPr>
                      <w:t>Rev. Peru. Obstet. Enferm. 11 (2) 2015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128" behindDoc="1" locked="0" layoutInCell="1" allowOverlap="1">
              <wp:simplePos x="0" y="0"/>
              <wp:positionH relativeFrom="page">
                <wp:posOffset>1003935</wp:posOffset>
              </wp:positionH>
              <wp:positionV relativeFrom="page">
                <wp:posOffset>10095865</wp:posOffset>
              </wp:positionV>
              <wp:extent cx="2014220" cy="153670"/>
              <wp:effectExtent l="3810" t="0" r="127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Rev. Peru. Obstet. Enferm. 11 (2)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79.05pt;margin-top:794.95pt;width:158.6pt;height:12.1pt;z-index:-1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5Ssg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" filled="f" stroked="f">
              <v:textbox inset="0,0,0,0">
                <w:txbxContent>
                  <w:p w:rsidR="00B42EF6" w:rsidRDefault="004565EA">
                    <w:pPr>
                      <w:spacing w:before="14"/>
                      <w:ind w:left="20"/>
                      <w:rPr>
                        <w:sz w:val="18"/>
                      </w:rPr>
                    </w:pPr>
                    <w:r>
                      <w:rPr>
                        <w:sz w:val="18"/>
                      </w:rPr>
                      <w:t>Rev. Peru. Obstet. Enferm. 11 (2) 2015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B42EF6">
    <w:pPr>
      <w:pStyle w:val="Textoindependiente"/>
      <w:spacing w:line="14" w:lineRule="auto"/>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200" behindDoc="1" locked="0" layoutInCell="1" allowOverlap="1">
              <wp:simplePos x="0" y="0"/>
              <wp:positionH relativeFrom="page">
                <wp:posOffset>1003935</wp:posOffset>
              </wp:positionH>
              <wp:positionV relativeFrom="page">
                <wp:posOffset>10095865</wp:posOffset>
              </wp:positionV>
              <wp:extent cx="2014220" cy="153670"/>
              <wp:effectExtent l="3810" t="0" r="127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Rev. Peru. Obstet. Enferm. 11 (2)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79.05pt;margin-top:794.95pt;width:158.6pt;height:12.1pt;z-index:-1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g5sQ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" filled="f" stroked="f">
              <v:textbox inset="0,0,0,0">
                <w:txbxContent>
                  <w:p w:rsidR="00B42EF6" w:rsidRDefault="004565EA">
                    <w:pPr>
                      <w:spacing w:before="14"/>
                      <w:ind w:left="20"/>
                      <w:rPr>
                        <w:sz w:val="18"/>
                      </w:rPr>
                    </w:pPr>
                    <w:r>
                      <w:rPr>
                        <w:sz w:val="18"/>
                      </w:rPr>
                      <w:t>Rev. Peru. Obstet. Enferm. 11 (2) 2015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248" behindDoc="1" locked="0" layoutInCell="1" allowOverlap="1">
              <wp:simplePos x="0" y="0"/>
              <wp:positionH relativeFrom="page">
                <wp:posOffset>990600</wp:posOffset>
              </wp:positionH>
              <wp:positionV relativeFrom="page">
                <wp:posOffset>9935845</wp:posOffset>
              </wp:positionV>
              <wp:extent cx="2014220" cy="153670"/>
              <wp:effectExtent l="0" t="127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Rev. Peru. Obstet. Enferm. 11 (2)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margin-left:78pt;margin-top:782.35pt;width:158.6pt;height:12.1pt;z-index:-1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TCsQ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" filled="f" stroked="f">
              <v:textbox inset="0,0,0,0">
                <w:txbxContent>
                  <w:p w:rsidR="00B42EF6" w:rsidRDefault="004565EA">
                    <w:pPr>
                      <w:spacing w:before="14"/>
                      <w:ind w:left="20"/>
                      <w:rPr>
                        <w:sz w:val="18"/>
                      </w:rPr>
                    </w:pPr>
                    <w:r>
                      <w:rPr>
                        <w:sz w:val="18"/>
                      </w:rPr>
                      <w:t>Rev. Peru. Obstet. Enferm. 11 (2) 2015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392" behindDoc="1" locked="0" layoutInCell="1" allowOverlap="1">
              <wp:simplePos x="0" y="0"/>
              <wp:positionH relativeFrom="page">
                <wp:posOffset>1003935</wp:posOffset>
              </wp:positionH>
              <wp:positionV relativeFrom="page">
                <wp:posOffset>10095865</wp:posOffset>
              </wp:positionV>
              <wp:extent cx="2014220" cy="153670"/>
              <wp:effectExtent l="381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Rev. Peru. Obstet. Enferm. 11 (2)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79.05pt;margin-top:794.95pt;width:158.6pt;height:12.1pt;z-index:-18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VrsAIAALE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" filled="f" stroked="f">
              <v:textbox inset="0,0,0,0">
                <w:txbxContent>
                  <w:p w:rsidR="00B42EF6" w:rsidRDefault="004565EA">
                    <w:pPr>
                      <w:spacing w:before="14"/>
                      <w:ind w:left="20"/>
                      <w:rPr>
                        <w:sz w:val="18"/>
                      </w:rPr>
                    </w:pPr>
                    <w:r>
                      <w:rPr>
                        <w:sz w:val="18"/>
                      </w:rPr>
                      <w:t>Rev. Peru. Obstet. Enferm. 11 (2) 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EA" w:rsidRDefault="004565EA">
      <w:r>
        <w:separator/>
      </w:r>
    </w:p>
  </w:footnote>
  <w:footnote w:type="continuationSeparator" w:id="0">
    <w:p w:rsidR="004565EA" w:rsidRDefault="004565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056" behindDoc="1" locked="0" layoutInCell="1" allowOverlap="1">
              <wp:simplePos x="0" y="0"/>
              <wp:positionH relativeFrom="page">
                <wp:posOffset>1003935</wp:posOffset>
              </wp:positionH>
              <wp:positionV relativeFrom="page">
                <wp:posOffset>447675</wp:posOffset>
              </wp:positionV>
              <wp:extent cx="4208780" cy="153670"/>
              <wp:effectExtent l="3810" t="0" r="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Virus papiloma humano en mujeres de 30 a 49 años del distrito de Catacaos-Piura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79.05pt;margin-top:35.25pt;width:331.4pt;height:12.1pt;z-index:-18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hZ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" filled="f" stroked="f">
              <v:textbox inset="0,0,0,0">
                <w:txbxContent>
                  <w:p w:rsidR="00B42EF6" w:rsidRDefault="004565EA">
                    <w:pPr>
                      <w:spacing w:before="14"/>
                      <w:ind w:left="20"/>
                      <w:rPr>
                        <w:sz w:val="18"/>
                      </w:rPr>
                    </w:pPr>
                    <w:r>
                      <w:rPr>
                        <w:sz w:val="18"/>
                      </w:rPr>
                      <w:t>Virus papiloma humano en mujeres de 30 a 49 años del distrito de Catacaos-Piura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104" behindDoc="1" locked="0" layoutInCell="1" allowOverlap="1">
              <wp:simplePos x="0" y="0"/>
              <wp:positionH relativeFrom="page">
                <wp:posOffset>1003935</wp:posOffset>
              </wp:positionH>
              <wp:positionV relativeFrom="page">
                <wp:posOffset>447675</wp:posOffset>
              </wp:positionV>
              <wp:extent cx="1631315" cy="153670"/>
              <wp:effectExtent l="3810" t="0" r="3175"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María del Carmen Nuñez Terán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79.05pt;margin-top:35.25pt;width:128.45pt;height:12.1pt;z-index:-18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" filled="f" stroked="f">
              <v:textbox inset="0,0,0,0">
                <w:txbxContent>
                  <w:p w:rsidR="00B42EF6" w:rsidRDefault="004565EA">
                    <w:pPr>
                      <w:spacing w:before="14"/>
                      <w:ind w:left="20"/>
                      <w:rPr>
                        <w:sz w:val="18"/>
                      </w:rPr>
                    </w:pPr>
                    <w:r>
                      <w:rPr>
                        <w:sz w:val="18"/>
                      </w:rPr>
                      <w:t>María del Carmen Nuñez Terán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152" behindDoc="1" locked="0" layoutInCell="1" allowOverlap="1">
              <wp:simplePos x="0" y="0"/>
              <wp:positionH relativeFrom="page">
                <wp:posOffset>1003935</wp:posOffset>
              </wp:positionH>
              <wp:positionV relativeFrom="page">
                <wp:posOffset>447675</wp:posOffset>
              </wp:positionV>
              <wp:extent cx="4208780" cy="153670"/>
              <wp:effectExtent l="381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Virus papiloma humano en mujere</w:t>
                          </w:r>
                          <w:r>
                            <w:rPr>
                              <w:sz w:val="18"/>
                            </w:rPr>
                            <w:t>s de 30 a 49 años del distrito de Catacaos-Piura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79.05pt;margin-top:35.25pt;width:331.4pt;height:12.1pt;z-index:-18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jjMswIAALE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" filled="f" stroked="f">
              <v:textbox inset="0,0,0,0">
                <w:txbxContent>
                  <w:p w:rsidR="00B42EF6" w:rsidRDefault="004565EA">
                    <w:pPr>
                      <w:spacing w:before="14"/>
                      <w:ind w:left="20"/>
                      <w:rPr>
                        <w:sz w:val="18"/>
                      </w:rPr>
                    </w:pPr>
                    <w:r>
                      <w:rPr>
                        <w:sz w:val="18"/>
                      </w:rPr>
                      <w:t>Virus papiloma humano en mujere</w:t>
                    </w:r>
                    <w:r>
                      <w:rPr>
                        <w:sz w:val="18"/>
                      </w:rPr>
                      <w:t>s de 30 a 49 años del distrito de Catacaos-Piura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176" behindDoc="1" locked="0" layoutInCell="1" allowOverlap="1">
              <wp:simplePos x="0" y="0"/>
              <wp:positionH relativeFrom="page">
                <wp:posOffset>1003935</wp:posOffset>
              </wp:positionH>
              <wp:positionV relativeFrom="page">
                <wp:posOffset>447675</wp:posOffset>
              </wp:positionV>
              <wp:extent cx="1631315" cy="153670"/>
              <wp:effectExtent l="3810" t="0" r="3175"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María del Carmen Nuñez Terán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79.05pt;margin-top:35.25pt;width:128.45pt;height:12.1pt;z-index:-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" filled="f" stroked="f">
              <v:textbox inset="0,0,0,0">
                <w:txbxContent>
                  <w:p w:rsidR="00B42EF6" w:rsidRDefault="004565EA">
                    <w:pPr>
                      <w:spacing w:before="14"/>
                      <w:ind w:left="20"/>
                      <w:rPr>
                        <w:sz w:val="18"/>
                      </w:rPr>
                    </w:pPr>
                    <w:r>
                      <w:rPr>
                        <w:sz w:val="18"/>
                      </w:rPr>
                      <w:t>María del Carmen Nuñez Terán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224" behindDoc="1" locked="0" layoutInCell="1" allowOverlap="1">
              <wp:simplePos x="0" y="0"/>
              <wp:positionH relativeFrom="page">
                <wp:posOffset>990600</wp:posOffset>
              </wp:positionH>
              <wp:positionV relativeFrom="page">
                <wp:posOffset>447675</wp:posOffset>
              </wp:positionV>
              <wp:extent cx="4208780" cy="153670"/>
              <wp:effectExtent l="0" t="0" r="127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Virus papiloma humano en mujeres de 30 a 49 años del distrito de Catacao</w:t>
                          </w:r>
                          <w:r>
                            <w:rPr>
                              <w:sz w:val="18"/>
                            </w:rPr>
                            <w:t>s-Piura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78pt;margin-top:35.25pt;width:331.4pt;height:12.1pt;z-index:-1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Cg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" filled="f" stroked="f">
              <v:textbox inset="0,0,0,0">
                <w:txbxContent>
                  <w:p w:rsidR="00B42EF6" w:rsidRDefault="004565EA">
                    <w:pPr>
                      <w:spacing w:before="14"/>
                      <w:ind w:left="20"/>
                      <w:rPr>
                        <w:sz w:val="18"/>
                      </w:rPr>
                    </w:pPr>
                    <w:r>
                      <w:rPr>
                        <w:sz w:val="18"/>
                      </w:rPr>
                      <w:t>Virus papiloma humano en mujeres de 30 a 49 años del distrito de Catacao</w:t>
                    </w:r>
                    <w:r>
                      <w:rPr>
                        <w:sz w:val="18"/>
                      </w:rPr>
                      <w:t>s-Piura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EF6" w:rsidRDefault="00E04F50">
    <w:pPr>
      <w:pStyle w:val="Textoindependiente"/>
      <w:spacing w:line="14" w:lineRule="auto"/>
      <w:rPr>
        <w:sz w:val="20"/>
      </w:rPr>
    </w:pPr>
    <w:r>
      <w:rPr>
        <w:noProof/>
        <w:lang w:bidi="ar-SA"/>
      </w:rPr>
      <mc:AlternateContent>
        <mc:Choice Requires="wps">
          <w:drawing>
            <wp:anchor distT="0" distB="0" distL="114300" distR="114300" simplePos="0" relativeHeight="503298368" behindDoc="1" locked="0" layoutInCell="1" allowOverlap="1">
              <wp:simplePos x="0" y="0"/>
              <wp:positionH relativeFrom="page">
                <wp:posOffset>1003935</wp:posOffset>
              </wp:positionH>
              <wp:positionV relativeFrom="page">
                <wp:posOffset>447675</wp:posOffset>
              </wp:positionV>
              <wp:extent cx="1631315" cy="153670"/>
              <wp:effectExtent l="381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EF6" w:rsidRDefault="004565EA">
                          <w:pPr>
                            <w:spacing w:before="14"/>
                            <w:ind w:left="20"/>
                            <w:rPr>
                              <w:sz w:val="18"/>
                            </w:rPr>
                          </w:pPr>
                          <w:r>
                            <w:rPr>
                              <w:sz w:val="18"/>
                            </w:rPr>
                            <w:t>María del Carmen Nuñez Terán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79.05pt;margin-top:35.25pt;width:128.45pt;height:12.1pt;z-index:-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KOswIAALE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" filled="f" stroked="f">
              <v:textbox inset="0,0,0,0">
                <w:txbxContent>
                  <w:p w:rsidR="00B42EF6" w:rsidRDefault="004565EA">
                    <w:pPr>
                      <w:spacing w:before="14"/>
                      <w:ind w:left="20"/>
                      <w:rPr>
                        <w:sz w:val="18"/>
                      </w:rPr>
                    </w:pPr>
                    <w:r>
                      <w:rPr>
                        <w:sz w:val="18"/>
                      </w:rPr>
                      <w:t>María del Carmen Nuñez Terán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5E71"/>
    <w:multiLevelType w:val="hybridMultilevel"/>
    <w:tmpl w:val="E0FA77D0"/>
    <w:lvl w:ilvl="0" w:tplc="E990D450">
      <w:start w:val="1"/>
      <w:numFmt w:val="decimal"/>
      <w:lvlText w:val="%1."/>
      <w:lvlJc w:val="left"/>
      <w:pPr>
        <w:ind w:left="564" w:hanging="360"/>
        <w:jc w:val="left"/>
      </w:pPr>
      <w:rPr>
        <w:rFonts w:hint="default"/>
        <w:w w:val="96"/>
        <w:lang w:val="es-PE" w:eastAsia="es-PE" w:bidi="es-PE"/>
      </w:rPr>
    </w:lvl>
    <w:lvl w:ilvl="1" w:tplc="A05A041A">
      <w:numFmt w:val="bullet"/>
      <w:lvlText w:val="•"/>
      <w:lvlJc w:val="left"/>
      <w:pPr>
        <w:ind w:left="1387" w:hanging="360"/>
      </w:pPr>
      <w:rPr>
        <w:rFonts w:hint="default"/>
        <w:lang w:val="es-PE" w:eastAsia="es-PE" w:bidi="es-PE"/>
      </w:rPr>
    </w:lvl>
    <w:lvl w:ilvl="2" w:tplc="9F1A0EFE">
      <w:numFmt w:val="bullet"/>
      <w:lvlText w:val="•"/>
      <w:lvlJc w:val="left"/>
      <w:pPr>
        <w:ind w:left="2214" w:hanging="360"/>
      </w:pPr>
      <w:rPr>
        <w:rFonts w:hint="default"/>
        <w:lang w:val="es-PE" w:eastAsia="es-PE" w:bidi="es-PE"/>
      </w:rPr>
    </w:lvl>
    <w:lvl w:ilvl="3" w:tplc="74A444BE">
      <w:numFmt w:val="bullet"/>
      <w:lvlText w:val="•"/>
      <w:lvlJc w:val="left"/>
      <w:pPr>
        <w:ind w:left="3041" w:hanging="360"/>
      </w:pPr>
      <w:rPr>
        <w:rFonts w:hint="default"/>
        <w:lang w:val="es-PE" w:eastAsia="es-PE" w:bidi="es-PE"/>
      </w:rPr>
    </w:lvl>
    <w:lvl w:ilvl="4" w:tplc="7D0A818C">
      <w:numFmt w:val="bullet"/>
      <w:lvlText w:val="•"/>
      <w:lvlJc w:val="left"/>
      <w:pPr>
        <w:ind w:left="3868" w:hanging="360"/>
      </w:pPr>
      <w:rPr>
        <w:rFonts w:hint="default"/>
        <w:lang w:val="es-PE" w:eastAsia="es-PE" w:bidi="es-PE"/>
      </w:rPr>
    </w:lvl>
    <w:lvl w:ilvl="5" w:tplc="3EF22FBE">
      <w:numFmt w:val="bullet"/>
      <w:lvlText w:val="•"/>
      <w:lvlJc w:val="left"/>
      <w:pPr>
        <w:ind w:left="4695" w:hanging="360"/>
      </w:pPr>
      <w:rPr>
        <w:rFonts w:hint="default"/>
        <w:lang w:val="es-PE" w:eastAsia="es-PE" w:bidi="es-PE"/>
      </w:rPr>
    </w:lvl>
    <w:lvl w:ilvl="6" w:tplc="F5CAF6DA">
      <w:numFmt w:val="bullet"/>
      <w:lvlText w:val="•"/>
      <w:lvlJc w:val="left"/>
      <w:pPr>
        <w:ind w:left="5522" w:hanging="360"/>
      </w:pPr>
      <w:rPr>
        <w:rFonts w:hint="default"/>
        <w:lang w:val="es-PE" w:eastAsia="es-PE" w:bidi="es-PE"/>
      </w:rPr>
    </w:lvl>
    <w:lvl w:ilvl="7" w:tplc="C3DC6DD8">
      <w:numFmt w:val="bullet"/>
      <w:lvlText w:val="•"/>
      <w:lvlJc w:val="left"/>
      <w:pPr>
        <w:ind w:left="6349" w:hanging="360"/>
      </w:pPr>
      <w:rPr>
        <w:rFonts w:hint="default"/>
        <w:lang w:val="es-PE" w:eastAsia="es-PE" w:bidi="es-PE"/>
      </w:rPr>
    </w:lvl>
    <w:lvl w:ilvl="8" w:tplc="7F64A948">
      <w:numFmt w:val="bullet"/>
      <w:lvlText w:val="•"/>
      <w:lvlJc w:val="left"/>
      <w:pPr>
        <w:ind w:left="7176" w:hanging="360"/>
      </w:pPr>
      <w:rPr>
        <w:rFonts w:hint="default"/>
        <w:lang w:val="es-PE" w:eastAsia="es-PE" w:bidi="es-PE"/>
      </w:rPr>
    </w:lvl>
  </w:abstractNum>
  <w:abstractNum w:abstractNumId="1" w15:restartNumberingAfterBreak="0">
    <w:nsid w:val="5915502D"/>
    <w:multiLevelType w:val="hybridMultilevel"/>
    <w:tmpl w:val="054A2D1C"/>
    <w:lvl w:ilvl="0" w:tplc="D7800C70">
      <w:numFmt w:val="bullet"/>
      <w:lvlText w:val=""/>
      <w:lvlJc w:val="left"/>
      <w:pPr>
        <w:ind w:left="564" w:hanging="360"/>
      </w:pPr>
      <w:rPr>
        <w:rFonts w:ascii="Symbol" w:eastAsia="Symbol" w:hAnsi="Symbol" w:cs="Symbol" w:hint="default"/>
        <w:w w:val="100"/>
        <w:sz w:val="22"/>
        <w:szCs w:val="22"/>
        <w:lang w:val="es-PE" w:eastAsia="es-PE" w:bidi="es-PE"/>
      </w:rPr>
    </w:lvl>
    <w:lvl w:ilvl="1" w:tplc="A3E29DCA">
      <w:numFmt w:val="bullet"/>
      <w:lvlText w:val="•"/>
      <w:lvlJc w:val="left"/>
      <w:pPr>
        <w:ind w:left="1387" w:hanging="360"/>
      </w:pPr>
      <w:rPr>
        <w:rFonts w:hint="default"/>
        <w:lang w:val="es-PE" w:eastAsia="es-PE" w:bidi="es-PE"/>
      </w:rPr>
    </w:lvl>
    <w:lvl w:ilvl="2" w:tplc="C524688A">
      <w:numFmt w:val="bullet"/>
      <w:lvlText w:val="•"/>
      <w:lvlJc w:val="left"/>
      <w:pPr>
        <w:ind w:left="2214" w:hanging="360"/>
      </w:pPr>
      <w:rPr>
        <w:rFonts w:hint="default"/>
        <w:lang w:val="es-PE" w:eastAsia="es-PE" w:bidi="es-PE"/>
      </w:rPr>
    </w:lvl>
    <w:lvl w:ilvl="3" w:tplc="05D2A096">
      <w:numFmt w:val="bullet"/>
      <w:lvlText w:val="•"/>
      <w:lvlJc w:val="left"/>
      <w:pPr>
        <w:ind w:left="3041" w:hanging="360"/>
      </w:pPr>
      <w:rPr>
        <w:rFonts w:hint="default"/>
        <w:lang w:val="es-PE" w:eastAsia="es-PE" w:bidi="es-PE"/>
      </w:rPr>
    </w:lvl>
    <w:lvl w:ilvl="4" w:tplc="13EE11E6">
      <w:numFmt w:val="bullet"/>
      <w:lvlText w:val="•"/>
      <w:lvlJc w:val="left"/>
      <w:pPr>
        <w:ind w:left="3868" w:hanging="360"/>
      </w:pPr>
      <w:rPr>
        <w:rFonts w:hint="default"/>
        <w:lang w:val="es-PE" w:eastAsia="es-PE" w:bidi="es-PE"/>
      </w:rPr>
    </w:lvl>
    <w:lvl w:ilvl="5" w:tplc="FB66FD3A">
      <w:numFmt w:val="bullet"/>
      <w:lvlText w:val="•"/>
      <w:lvlJc w:val="left"/>
      <w:pPr>
        <w:ind w:left="4695" w:hanging="360"/>
      </w:pPr>
      <w:rPr>
        <w:rFonts w:hint="default"/>
        <w:lang w:val="es-PE" w:eastAsia="es-PE" w:bidi="es-PE"/>
      </w:rPr>
    </w:lvl>
    <w:lvl w:ilvl="6" w:tplc="5B3C645E">
      <w:numFmt w:val="bullet"/>
      <w:lvlText w:val="•"/>
      <w:lvlJc w:val="left"/>
      <w:pPr>
        <w:ind w:left="5522" w:hanging="360"/>
      </w:pPr>
      <w:rPr>
        <w:rFonts w:hint="default"/>
        <w:lang w:val="es-PE" w:eastAsia="es-PE" w:bidi="es-PE"/>
      </w:rPr>
    </w:lvl>
    <w:lvl w:ilvl="7" w:tplc="BE707960">
      <w:numFmt w:val="bullet"/>
      <w:lvlText w:val="•"/>
      <w:lvlJc w:val="left"/>
      <w:pPr>
        <w:ind w:left="6349" w:hanging="360"/>
      </w:pPr>
      <w:rPr>
        <w:rFonts w:hint="default"/>
        <w:lang w:val="es-PE" w:eastAsia="es-PE" w:bidi="es-PE"/>
      </w:rPr>
    </w:lvl>
    <w:lvl w:ilvl="8" w:tplc="E3D61750">
      <w:numFmt w:val="bullet"/>
      <w:lvlText w:val="•"/>
      <w:lvlJc w:val="left"/>
      <w:pPr>
        <w:ind w:left="7176" w:hanging="360"/>
      </w:pPr>
      <w:rPr>
        <w:rFonts w:hint="default"/>
        <w:lang w:val="es-PE" w:eastAsia="es-PE" w:bidi="es-PE"/>
      </w:rPr>
    </w:lvl>
  </w:abstractNum>
  <w:abstractNum w:abstractNumId="2" w15:restartNumberingAfterBreak="0">
    <w:nsid w:val="5B7D2199"/>
    <w:multiLevelType w:val="hybridMultilevel"/>
    <w:tmpl w:val="8F982C62"/>
    <w:lvl w:ilvl="0" w:tplc="0D5029E8">
      <w:start w:val="1"/>
      <w:numFmt w:val="bullet"/>
      <w:lvlText w:val=""/>
      <w:lvlJc w:val="left"/>
      <w:pPr>
        <w:ind w:left="720" w:hanging="360"/>
      </w:pPr>
      <w:rPr>
        <w:rFonts w:ascii="Symbol" w:hAnsi="Symbol" w:hint="default"/>
        <w:lang w:val="es-PE"/>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F6"/>
    <w:rsid w:val="004565EA"/>
    <w:rsid w:val="00B42EF6"/>
    <w:rsid w:val="00E04F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0B9921-6BEA-4FE2-A7EC-E4ED0C57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PE" w:eastAsia="es-PE" w:bidi="es-PE"/>
    </w:rPr>
  </w:style>
  <w:style w:type="paragraph" w:styleId="Ttulo1">
    <w:name w:val="heading 1"/>
    <w:basedOn w:val="Normal"/>
    <w:uiPriority w:val="1"/>
    <w:qFormat/>
    <w:pPr>
      <w:ind w:left="425"/>
      <w:outlineLvl w:val="0"/>
    </w:pPr>
    <w:rPr>
      <w:b/>
      <w:bCs/>
      <w:sz w:val="28"/>
      <w:szCs w:val="28"/>
    </w:rPr>
  </w:style>
  <w:style w:type="paragraph" w:styleId="Ttulo2">
    <w:name w:val="heading 2"/>
    <w:basedOn w:val="Normal"/>
    <w:uiPriority w:val="1"/>
    <w:qFormat/>
    <w:pPr>
      <w:ind w:left="211"/>
      <w:jc w:val="center"/>
      <w:outlineLvl w:val="1"/>
    </w:pPr>
    <w:rPr>
      <w:sz w:val="28"/>
      <w:szCs w:val="28"/>
    </w:rPr>
  </w:style>
  <w:style w:type="paragraph" w:styleId="Ttulo3">
    <w:name w:val="heading 3"/>
    <w:basedOn w:val="Normal"/>
    <w:uiPriority w:val="1"/>
    <w:qFormat/>
    <w:pPr>
      <w:spacing w:before="1"/>
      <w:ind w:left="204"/>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56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B4A02-1EED-4391-A704-B73082FB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4814</Words>
  <Characters>26482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 FOE Calidad 02</dc:creator>
  <cp:lastModifiedBy>05 FOE Apoyo Investigación02</cp:lastModifiedBy>
  <cp:revision>2</cp:revision>
  <dcterms:created xsi:type="dcterms:W3CDTF">2019-02-04T15:08:00Z</dcterms:created>
  <dcterms:modified xsi:type="dcterms:W3CDTF">2019-02-04T15:08:00Z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2017-08-15T00:00:00Z</vt:filetime>
  </property>
  <property fmtid="{D5CDD505-2E9C-101B-9397-08002B2CF9AE}" pid="3" name="Creator">
    <vt:lpwstr>Microsoft® Word 2013</vt:lpwstr>
  </property>
  <property fmtid="{D5CDD505-2E9C-101B-9397-08002B2CF9AE}" pid="4" name="LastSaved">
    <vt:filetime>2019-02-04T00:00:00Z</vt:filetime>
  </property>
</Properties>
</file>